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75" w:rsidRDefault="00B96675" w:rsidP="00421720">
      <w:pPr>
        <w:jc w:val="center"/>
        <w:rPr>
          <w:rFonts w:asciiTheme="majorBidi" w:hAnsiTheme="majorBidi" w:cstheme="majorBidi"/>
          <w:b/>
          <w:bCs/>
          <w:sz w:val="24"/>
          <w:szCs w:val="24"/>
        </w:rPr>
      </w:pPr>
      <w:r>
        <w:rPr>
          <w:rFonts w:asciiTheme="majorBidi" w:hAnsiTheme="majorBidi" w:cstheme="majorBidi"/>
          <w:b/>
          <w:bCs/>
          <w:sz w:val="24"/>
          <w:szCs w:val="24"/>
        </w:rPr>
        <w:t xml:space="preserve">Solutions and American English Files: </w:t>
      </w:r>
      <w:r w:rsidR="005E7ED4">
        <w:rPr>
          <w:rFonts w:asciiTheme="majorBidi" w:hAnsiTheme="majorBidi" w:cstheme="majorBidi"/>
          <w:b/>
          <w:bCs/>
          <w:sz w:val="24"/>
          <w:szCs w:val="24"/>
        </w:rPr>
        <w:t>Can</w:t>
      </w:r>
      <w:r>
        <w:rPr>
          <w:rFonts w:asciiTheme="majorBidi" w:hAnsiTheme="majorBidi" w:cstheme="majorBidi"/>
          <w:b/>
          <w:bCs/>
          <w:sz w:val="24"/>
          <w:szCs w:val="24"/>
        </w:rPr>
        <w:t xml:space="preserve"> they meet the learners’ needs?</w:t>
      </w:r>
    </w:p>
    <w:p w:rsidR="00E47D45" w:rsidRPr="00AA7FAB" w:rsidRDefault="00E47D45" w:rsidP="00AA7FAB">
      <w:pPr>
        <w:rPr>
          <w:rFonts w:asciiTheme="majorBidi" w:hAnsiTheme="majorBidi" w:cstheme="majorBidi"/>
          <w:b/>
          <w:bCs/>
          <w:sz w:val="24"/>
          <w:szCs w:val="24"/>
        </w:rPr>
      </w:pPr>
      <w:r w:rsidRPr="00E47D45">
        <w:rPr>
          <w:rFonts w:asciiTheme="majorBidi" w:hAnsiTheme="majorBidi" w:cstheme="majorBidi"/>
          <w:b/>
          <w:bCs/>
          <w:sz w:val="24"/>
          <w:szCs w:val="24"/>
        </w:rPr>
        <w:t>Abstract</w:t>
      </w:r>
    </w:p>
    <w:p w:rsidR="00E47D45" w:rsidRPr="00E47D45" w:rsidRDefault="00E47D45" w:rsidP="00AA7FAB">
      <w:pPr>
        <w:jc w:val="both"/>
        <w:rPr>
          <w:rFonts w:asciiTheme="majorBidi" w:hAnsiTheme="majorBidi" w:cstheme="majorBidi"/>
          <w:sz w:val="24"/>
          <w:szCs w:val="24"/>
        </w:rPr>
      </w:pPr>
      <w:r w:rsidRPr="00E47D45">
        <w:rPr>
          <w:rFonts w:asciiTheme="majorBidi" w:hAnsiTheme="majorBidi" w:cstheme="majorBidi"/>
          <w:sz w:val="24"/>
          <w:szCs w:val="24"/>
        </w:rPr>
        <w:t xml:space="preserve">The current study aimed to explore the degree of congruity between English language learners’ real-life needs and the content presented in the upper-intermediate level of Solutions and American English File series. To this end, 20 EFL learners completed an adopted version of a questionnaire genuinely developed by </w:t>
      </w:r>
      <w:proofErr w:type="spellStart"/>
      <w:r w:rsidRPr="00E47D45">
        <w:rPr>
          <w:rFonts w:asciiTheme="majorBidi" w:hAnsiTheme="majorBidi" w:cstheme="majorBidi"/>
          <w:sz w:val="24"/>
          <w:szCs w:val="24"/>
        </w:rPr>
        <w:t>Balint</w:t>
      </w:r>
      <w:proofErr w:type="spellEnd"/>
      <w:r w:rsidRPr="00E47D45">
        <w:rPr>
          <w:rFonts w:asciiTheme="majorBidi" w:hAnsiTheme="majorBidi" w:cstheme="majorBidi"/>
          <w:sz w:val="24"/>
          <w:szCs w:val="24"/>
        </w:rPr>
        <w:t xml:space="preserve">. Two researchers also evaluated the textbooks based on the same questionnaire. The results of the researchers’ evaluation of the activities in the two textbooks and descriptive statistics of the participants’ responses to the questionnaires revealed that American English File books could highly meet the top-graded needs of the students. The findings can carry pedagogical implications for the materials developers and teachers to make the required adaptation in order to gear these widely textbooks to the learners’ needs. </w:t>
      </w:r>
    </w:p>
    <w:p w:rsidR="00C2194B" w:rsidRDefault="00E47D45" w:rsidP="00E47D45">
      <w:pPr>
        <w:jc w:val="both"/>
        <w:rPr>
          <w:rFonts w:asciiTheme="majorBidi" w:hAnsiTheme="majorBidi" w:cstheme="majorBidi"/>
          <w:sz w:val="24"/>
          <w:szCs w:val="24"/>
        </w:rPr>
      </w:pPr>
      <w:r w:rsidRPr="00AA7FAB">
        <w:rPr>
          <w:rFonts w:asciiTheme="majorBidi" w:hAnsiTheme="majorBidi" w:cstheme="majorBidi"/>
          <w:b/>
          <w:bCs/>
          <w:sz w:val="24"/>
          <w:szCs w:val="24"/>
        </w:rPr>
        <w:t>Keywords:</w:t>
      </w:r>
      <w:r w:rsidRPr="00E47D45">
        <w:rPr>
          <w:rFonts w:asciiTheme="majorBidi" w:hAnsiTheme="majorBidi" w:cstheme="majorBidi"/>
          <w:sz w:val="24"/>
          <w:szCs w:val="24"/>
        </w:rPr>
        <w:t xml:space="preserve"> Needs, Materials evaluation, American English File, Solutions.</w:t>
      </w:r>
    </w:p>
    <w:p w:rsidR="002A4A3D" w:rsidRDefault="002A4A3D" w:rsidP="00E47D45">
      <w:pPr>
        <w:jc w:val="both"/>
        <w:rPr>
          <w:rFonts w:asciiTheme="majorBidi" w:hAnsiTheme="majorBidi" w:cstheme="majorBidi"/>
          <w:sz w:val="24"/>
          <w:szCs w:val="24"/>
        </w:rPr>
      </w:pPr>
    </w:p>
    <w:p w:rsidR="002A4A3D" w:rsidRPr="002A4A3D" w:rsidRDefault="002A4A3D" w:rsidP="00E47D45">
      <w:pPr>
        <w:jc w:val="both"/>
        <w:rPr>
          <w:rFonts w:asciiTheme="majorBidi" w:hAnsiTheme="majorBidi" w:cstheme="majorBidi"/>
          <w:b/>
          <w:bCs/>
          <w:sz w:val="24"/>
          <w:szCs w:val="24"/>
        </w:rPr>
      </w:pPr>
      <w:r>
        <w:rPr>
          <w:rFonts w:asciiTheme="majorBidi" w:hAnsiTheme="majorBidi" w:cstheme="majorBidi"/>
          <w:b/>
          <w:bCs/>
          <w:sz w:val="24"/>
          <w:szCs w:val="24"/>
        </w:rPr>
        <w:t>Background</w:t>
      </w:r>
    </w:p>
    <w:p w:rsidR="00647264" w:rsidRDefault="00C2194B" w:rsidP="00647264">
      <w:pPr>
        <w:jc w:val="both"/>
        <w:rPr>
          <w:rFonts w:asciiTheme="majorBidi" w:hAnsiTheme="majorBidi" w:cstheme="majorBidi"/>
          <w:sz w:val="24"/>
          <w:szCs w:val="24"/>
        </w:rPr>
      </w:pPr>
      <w:r w:rsidRPr="00534139">
        <w:rPr>
          <w:rFonts w:asciiTheme="majorBidi" w:hAnsiTheme="majorBidi" w:cstheme="majorBidi"/>
          <w:sz w:val="24"/>
          <w:szCs w:val="24"/>
        </w:rPr>
        <w:t>Textbooks are considered as important elements in ELT curriculum (Richards, 2001). They provide a framework for planning and implementing teaching and learning routines (Byrd, 2001). The advocates of using textbooks refer to some advantages, mainly giving a sense of security, presenting a purposeful image of the course, offering well-organized texts an</w:t>
      </w:r>
      <w:r w:rsidR="00647264">
        <w:rPr>
          <w:rFonts w:asciiTheme="majorBidi" w:hAnsiTheme="majorBidi" w:cstheme="majorBidi"/>
          <w:sz w:val="24"/>
          <w:szCs w:val="24"/>
        </w:rPr>
        <w:t>d activities while the opponent</w:t>
      </w:r>
      <w:r w:rsidRPr="00534139">
        <w:rPr>
          <w:rFonts w:asciiTheme="majorBidi" w:hAnsiTheme="majorBidi" w:cstheme="majorBidi"/>
          <w:sz w:val="24"/>
          <w:szCs w:val="24"/>
        </w:rPr>
        <w:t xml:space="preserve">s assert that using textbooks hinders the teachers' creativity and create barriers to addressing the students' needs (Ur, 1996). </w:t>
      </w:r>
    </w:p>
    <w:p w:rsidR="00647264" w:rsidRDefault="00C2194B" w:rsidP="00647264">
      <w:pPr>
        <w:jc w:val="both"/>
        <w:rPr>
          <w:rFonts w:asciiTheme="majorBidi" w:hAnsiTheme="majorBidi" w:cstheme="majorBidi"/>
          <w:sz w:val="24"/>
          <w:szCs w:val="24"/>
        </w:rPr>
      </w:pPr>
      <w:r w:rsidRPr="00534139">
        <w:rPr>
          <w:rFonts w:asciiTheme="majorBidi" w:hAnsiTheme="majorBidi" w:cstheme="majorBidi"/>
          <w:sz w:val="24"/>
          <w:szCs w:val="24"/>
        </w:rPr>
        <w:t>However</w:t>
      </w:r>
      <w:r>
        <w:rPr>
          <w:rFonts w:asciiTheme="majorBidi" w:hAnsiTheme="majorBidi" w:cstheme="majorBidi"/>
          <w:sz w:val="24"/>
          <w:szCs w:val="24"/>
        </w:rPr>
        <w:t>,</w:t>
      </w:r>
      <w:r w:rsidRPr="00534139">
        <w:rPr>
          <w:rFonts w:asciiTheme="majorBidi" w:hAnsiTheme="majorBidi" w:cstheme="majorBidi"/>
          <w:sz w:val="24"/>
          <w:szCs w:val="24"/>
        </w:rPr>
        <w:t xml:space="preserve"> the importance of textbooks has never faded away despite all these arguments. They have been regarded as a useful means to achieve the educati</w:t>
      </w:r>
      <w:r w:rsidR="00B96675">
        <w:rPr>
          <w:rFonts w:asciiTheme="majorBidi" w:hAnsiTheme="majorBidi" w:cstheme="majorBidi"/>
          <w:sz w:val="24"/>
          <w:szCs w:val="24"/>
        </w:rPr>
        <w:t xml:space="preserve">onal objectives (Ansari &amp; </w:t>
      </w:r>
      <w:proofErr w:type="spellStart"/>
      <w:r w:rsidR="00B96675">
        <w:rPr>
          <w:rFonts w:asciiTheme="majorBidi" w:hAnsiTheme="majorBidi" w:cstheme="majorBidi"/>
          <w:sz w:val="24"/>
          <w:szCs w:val="24"/>
        </w:rPr>
        <w:t>Babai</w:t>
      </w:r>
      <w:r>
        <w:rPr>
          <w:rFonts w:asciiTheme="majorBidi" w:hAnsiTheme="majorBidi" w:cstheme="majorBidi"/>
          <w:sz w:val="24"/>
          <w:szCs w:val="24"/>
        </w:rPr>
        <w:t>i</w:t>
      </w:r>
      <w:proofErr w:type="spellEnd"/>
      <w:r w:rsidRPr="00534139">
        <w:rPr>
          <w:rFonts w:asciiTheme="majorBidi" w:hAnsiTheme="majorBidi" w:cstheme="majorBidi"/>
          <w:sz w:val="24"/>
          <w:szCs w:val="24"/>
        </w:rPr>
        <w:t>, 2002). Accordingly, the teachers are called for evaluating the textbooks to uncover their strengths and shortcomings in order to gauge their values</w:t>
      </w:r>
      <w:r w:rsidR="00B96675">
        <w:rPr>
          <w:rFonts w:asciiTheme="majorBidi" w:hAnsiTheme="majorBidi" w:cstheme="majorBidi"/>
          <w:sz w:val="24"/>
          <w:szCs w:val="24"/>
        </w:rPr>
        <w:t xml:space="preserve"> (Hutchinson &amp; W</w:t>
      </w:r>
      <w:r>
        <w:rPr>
          <w:rFonts w:asciiTheme="majorBidi" w:hAnsiTheme="majorBidi" w:cstheme="majorBidi"/>
          <w:sz w:val="24"/>
          <w:szCs w:val="24"/>
        </w:rPr>
        <w:t>aters, 1993). Analy</w:t>
      </w:r>
      <w:r w:rsidRPr="00534139">
        <w:rPr>
          <w:rFonts w:asciiTheme="majorBidi" w:hAnsiTheme="majorBidi" w:cstheme="majorBidi"/>
          <w:sz w:val="24"/>
          <w:szCs w:val="24"/>
        </w:rPr>
        <w:t>zing textbooks reveal</w:t>
      </w:r>
      <w:r>
        <w:rPr>
          <w:rFonts w:asciiTheme="majorBidi" w:hAnsiTheme="majorBidi" w:cstheme="majorBidi"/>
          <w:sz w:val="24"/>
          <w:szCs w:val="24"/>
        </w:rPr>
        <w:t>s</w:t>
      </w:r>
      <w:r w:rsidRPr="00534139">
        <w:rPr>
          <w:rFonts w:asciiTheme="majorBidi" w:hAnsiTheme="majorBidi" w:cstheme="majorBidi"/>
          <w:sz w:val="24"/>
          <w:szCs w:val="24"/>
        </w:rPr>
        <w:t xml:space="preserve"> the degree of correspondence between the presented content and go</w:t>
      </w:r>
      <w:r>
        <w:rPr>
          <w:rFonts w:asciiTheme="majorBidi" w:hAnsiTheme="majorBidi" w:cstheme="majorBidi"/>
          <w:sz w:val="24"/>
          <w:szCs w:val="24"/>
        </w:rPr>
        <w:t>al</w:t>
      </w:r>
      <w:r w:rsidRPr="00534139">
        <w:rPr>
          <w:rFonts w:asciiTheme="majorBidi" w:hAnsiTheme="majorBidi" w:cstheme="majorBidi"/>
          <w:sz w:val="24"/>
          <w:szCs w:val="24"/>
        </w:rPr>
        <w:t xml:space="preserve">s of a given English language course (Williams, 1983). </w:t>
      </w:r>
    </w:p>
    <w:p w:rsidR="00647264" w:rsidRDefault="00C2194B" w:rsidP="00647264">
      <w:pPr>
        <w:jc w:val="both"/>
        <w:rPr>
          <w:rFonts w:asciiTheme="majorBidi" w:hAnsiTheme="majorBidi" w:cstheme="majorBidi"/>
          <w:sz w:val="24"/>
          <w:szCs w:val="24"/>
        </w:rPr>
      </w:pPr>
      <w:r w:rsidRPr="00534139">
        <w:rPr>
          <w:rFonts w:asciiTheme="majorBidi" w:hAnsiTheme="majorBidi" w:cstheme="majorBidi"/>
          <w:sz w:val="24"/>
          <w:szCs w:val="24"/>
        </w:rPr>
        <w:t>Textbooks evaluation promotes the teachers' understanding of the merits an</w:t>
      </w:r>
      <w:r w:rsidR="00647264">
        <w:rPr>
          <w:rFonts w:asciiTheme="majorBidi" w:hAnsiTheme="majorBidi" w:cstheme="majorBidi"/>
          <w:sz w:val="24"/>
          <w:szCs w:val="24"/>
        </w:rPr>
        <w:t>d demerits of the materials (Mc</w:t>
      </w:r>
      <w:r w:rsidRPr="00534139">
        <w:rPr>
          <w:rFonts w:asciiTheme="majorBidi" w:hAnsiTheme="majorBidi" w:cstheme="majorBidi"/>
          <w:sz w:val="24"/>
          <w:szCs w:val="24"/>
        </w:rPr>
        <w:t>Do</w:t>
      </w:r>
      <w:r w:rsidR="00647264">
        <w:rPr>
          <w:rFonts w:asciiTheme="majorBidi" w:hAnsiTheme="majorBidi" w:cstheme="majorBidi"/>
          <w:sz w:val="24"/>
          <w:szCs w:val="24"/>
        </w:rPr>
        <w:t>nough</w:t>
      </w:r>
      <w:r w:rsidRPr="00534139">
        <w:rPr>
          <w:rFonts w:asciiTheme="majorBidi" w:hAnsiTheme="majorBidi" w:cstheme="majorBidi"/>
          <w:sz w:val="24"/>
          <w:szCs w:val="24"/>
        </w:rPr>
        <w:t xml:space="preserve"> &amp; Shaw, 2003). It is indeed a prerequisite for fulfilling the learners' needs and expectations (</w:t>
      </w:r>
      <w:proofErr w:type="spellStart"/>
      <w:r w:rsidRPr="00534139">
        <w:rPr>
          <w:rFonts w:asciiTheme="majorBidi" w:hAnsiTheme="majorBidi" w:cstheme="majorBidi"/>
          <w:sz w:val="24"/>
          <w:szCs w:val="24"/>
        </w:rPr>
        <w:t>Mirzaei</w:t>
      </w:r>
      <w:proofErr w:type="spellEnd"/>
      <w:r w:rsidRPr="00534139">
        <w:rPr>
          <w:rFonts w:asciiTheme="majorBidi" w:hAnsiTheme="majorBidi" w:cstheme="majorBidi"/>
          <w:sz w:val="24"/>
          <w:szCs w:val="24"/>
        </w:rPr>
        <w:t xml:space="preserve"> &amp; </w:t>
      </w:r>
      <w:proofErr w:type="spellStart"/>
      <w:r w:rsidRPr="00534139">
        <w:rPr>
          <w:rFonts w:asciiTheme="majorBidi" w:hAnsiTheme="majorBidi" w:cstheme="majorBidi"/>
          <w:sz w:val="24"/>
          <w:szCs w:val="24"/>
        </w:rPr>
        <w:t>Tabatabaei</w:t>
      </w:r>
      <w:proofErr w:type="spellEnd"/>
      <w:r w:rsidRPr="00534139">
        <w:rPr>
          <w:rFonts w:asciiTheme="majorBidi" w:hAnsiTheme="majorBidi" w:cstheme="majorBidi"/>
          <w:sz w:val="24"/>
          <w:szCs w:val="24"/>
        </w:rPr>
        <w:t>, 2017). Evaluating the materials enable</w:t>
      </w:r>
      <w:r w:rsidR="00647264">
        <w:rPr>
          <w:rFonts w:asciiTheme="majorBidi" w:hAnsiTheme="majorBidi" w:cstheme="majorBidi"/>
          <w:sz w:val="24"/>
          <w:szCs w:val="24"/>
        </w:rPr>
        <w:t>s</w:t>
      </w:r>
      <w:r w:rsidRPr="00534139">
        <w:rPr>
          <w:rFonts w:asciiTheme="majorBidi" w:hAnsiTheme="majorBidi" w:cstheme="majorBidi"/>
          <w:sz w:val="24"/>
          <w:szCs w:val="24"/>
        </w:rPr>
        <w:t xml:space="preserve"> the teachers to make the optimum use of their strengths and make the required modifications and adaptations to re</w:t>
      </w:r>
      <w:r w:rsidR="00647264">
        <w:rPr>
          <w:rFonts w:asciiTheme="majorBidi" w:hAnsiTheme="majorBidi" w:cstheme="majorBidi"/>
          <w:sz w:val="24"/>
          <w:szCs w:val="24"/>
        </w:rPr>
        <w:t>move the shortcomings (</w:t>
      </w:r>
      <w:proofErr w:type="spellStart"/>
      <w:r w:rsidR="00647264">
        <w:rPr>
          <w:rFonts w:asciiTheme="majorBidi" w:hAnsiTheme="majorBidi" w:cstheme="majorBidi"/>
          <w:sz w:val="24"/>
          <w:szCs w:val="24"/>
        </w:rPr>
        <w:t>Cunnings</w:t>
      </w:r>
      <w:r w:rsidRPr="00534139">
        <w:rPr>
          <w:rFonts w:asciiTheme="majorBidi" w:hAnsiTheme="majorBidi" w:cstheme="majorBidi"/>
          <w:sz w:val="24"/>
          <w:szCs w:val="24"/>
        </w:rPr>
        <w:t>worth</w:t>
      </w:r>
      <w:proofErr w:type="spellEnd"/>
      <w:r w:rsidRPr="00534139">
        <w:rPr>
          <w:rFonts w:asciiTheme="majorBidi" w:hAnsiTheme="majorBidi" w:cstheme="majorBidi"/>
          <w:sz w:val="24"/>
          <w:szCs w:val="24"/>
        </w:rPr>
        <w:t>, 1995). Conducting a context-dependent evaluation of the materials allow the teachers to have a good control over the context (Sheldon, 1998) and ad</w:t>
      </w:r>
      <w:r w:rsidR="00647264">
        <w:rPr>
          <w:rFonts w:asciiTheme="majorBidi" w:hAnsiTheme="majorBidi" w:cstheme="majorBidi"/>
          <w:sz w:val="24"/>
          <w:szCs w:val="24"/>
        </w:rPr>
        <w:t>apt them more realistically (McDonough</w:t>
      </w:r>
      <w:r w:rsidRPr="00534139">
        <w:rPr>
          <w:rFonts w:asciiTheme="majorBidi" w:hAnsiTheme="majorBidi" w:cstheme="majorBidi"/>
          <w:sz w:val="24"/>
          <w:szCs w:val="24"/>
        </w:rPr>
        <w:t xml:space="preserve"> &amp; Shaw, 2003) and make informed decisions about the ins</w:t>
      </w:r>
      <w:r w:rsidR="00647264">
        <w:rPr>
          <w:rFonts w:asciiTheme="majorBidi" w:hAnsiTheme="majorBidi" w:cstheme="majorBidi"/>
          <w:sz w:val="24"/>
          <w:szCs w:val="24"/>
        </w:rPr>
        <w:t>tructional procedures (</w:t>
      </w:r>
      <w:proofErr w:type="spellStart"/>
      <w:r w:rsidR="00647264">
        <w:rPr>
          <w:rFonts w:asciiTheme="majorBidi" w:hAnsiTheme="majorBidi" w:cstheme="majorBidi"/>
          <w:sz w:val="24"/>
          <w:szCs w:val="24"/>
        </w:rPr>
        <w:t>Cunnings</w:t>
      </w:r>
      <w:r w:rsidRPr="00534139">
        <w:rPr>
          <w:rFonts w:asciiTheme="majorBidi" w:hAnsiTheme="majorBidi" w:cstheme="majorBidi"/>
          <w:sz w:val="24"/>
          <w:szCs w:val="24"/>
        </w:rPr>
        <w:t>worth</w:t>
      </w:r>
      <w:proofErr w:type="spellEnd"/>
      <w:r w:rsidRPr="00534139">
        <w:rPr>
          <w:rFonts w:asciiTheme="majorBidi" w:hAnsiTheme="majorBidi" w:cstheme="majorBidi"/>
          <w:sz w:val="24"/>
          <w:szCs w:val="24"/>
        </w:rPr>
        <w:t xml:space="preserve">, 1995). </w:t>
      </w:r>
    </w:p>
    <w:p w:rsidR="00647264" w:rsidRDefault="00C2194B" w:rsidP="00647264">
      <w:pPr>
        <w:jc w:val="both"/>
        <w:rPr>
          <w:rFonts w:asciiTheme="majorBidi" w:hAnsiTheme="majorBidi" w:cstheme="majorBidi"/>
          <w:sz w:val="24"/>
          <w:szCs w:val="24"/>
        </w:rPr>
      </w:pPr>
      <w:r w:rsidRPr="00534139">
        <w:rPr>
          <w:rFonts w:asciiTheme="majorBidi" w:hAnsiTheme="majorBidi" w:cstheme="majorBidi"/>
          <w:sz w:val="24"/>
          <w:szCs w:val="24"/>
        </w:rPr>
        <w:t xml:space="preserve">Numerous studies have been conducted to evaluate various textbooks used to teach English to </w:t>
      </w:r>
      <w:r w:rsidR="00647264">
        <w:rPr>
          <w:rFonts w:asciiTheme="majorBidi" w:hAnsiTheme="majorBidi" w:cstheme="majorBidi"/>
          <w:sz w:val="24"/>
          <w:szCs w:val="24"/>
        </w:rPr>
        <w:t>a</w:t>
      </w:r>
      <w:r w:rsidRPr="00534139">
        <w:rPr>
          <w:rFonts w:asciiTheme="majorBidi" w:hAnsiTheme="majorBidi" w:cstheme="majorBidi"/>
          <w:sz w:val="24"/>
          <w:szCs w:val="24"/>
        </w:rPr>
        <w:t xml:space="preserve"> wide range of language learners. In this regard various ELT materials have been examined such as Headway (</w:t>
      </w:r>
      <w:proofErr w:type="spellStart"/>
      <w:r w:rsidRPr="00534139">
        <w:rPr>
          <w:rFonts w:asciiTheme="majorBidi" w:hAnsiTheme="majorBidi" w:cstheme="majorBidi"/>
          <w:sz w:val="24"/>
          <w:szCs w:val="24"/>
        </w:rPr>
        <w:t>Ranalli</w:t>
      </w:r>
      <w:proofErr w:type="spellEnd"/>
      <w:r w:rsidRPr="00534139">
        <w:rPr>
          <w:rFonts w:asciiTheme="majorBidi" w:hAnsiTheme="majorBidi" w:cstheme="majorBidi"/>
          <w:sz w:val="24"/>
          <w:szCs w:val="24"/>
        </w:rPr>
        <w:t>, 2002) New Interchange (Domin</w:t>
      </w:r>
      <w:r w:rsidR="00647264">
        <w:rPr>
          <w:rFonts w:asciiTheme="majorBidi" w:hAnsiTheme="majorBidi" w:cstheme="majorBidi"/>
          <w:sz w:val="24"/>
          <w:szCs w:val="24"/>
        </w:rPr>
        <w:t xml:space="preserve">guez, 2004; </w:t>
      </w:r>
      <w:proofErr w:type="spellStart"/>
      <w:r w:rsidR="00647264">
        <w:rPr>
          <w:rFonts w:asciiTheme="majorBidi" w:hAnsiTheme="majorBidi" w:cstheme="majorBidi"/>
          <w:sz w:val="24"/>
          <w:szCs w:val="24"/>
        </w:rPr>
        <w:t>Iraji</w:t>
      </w:r>
      <w:proofErr w:type="spellEnd"/>
      <w:r w:rsidR="00647264">
        <w:rPr>
          <w:rFonts w:asciiTheme="majorBidi" w:hAnsiTheme="majorBidi" w:cstheme="majorBidi"/>
          <w:sz w:val="24"/>
          <w:szCs w:val="24"/>
        </w:rPr>
        <w:t>, 2007), Spot O</w:t>
      </w:r>
      <w:r w:rsidRPr="00534139">
        <w:rPr>
          <w:rFonts w:asciiTheme="majorBidi" w:hAnsiTheme="majorBidi" w:cstheme="majorBidi"/>
          <w:sz w:val="24"/>
          <w:szCs w:val="24"/>
        </w:rPr>
        <w:t>n (</w:t>
      </w:r>
      <w:proofErr w:type="spellStart"/>
      <w:r w:rsidRPr="00534139">
        <w:rPr>
          <w:rFonts w:asciiTheme="majorBidi" w:hAnsiTheme="majorBidi" w:cstheme="majorBidi"/>
          <w:sz w:val="24"/>
          <w:szCs w:val="24"/>
        </w:rPr>
        <w:t>Tok</w:t>
      </w:r>
      <w:proofErr w:type="spellEnd"/>
      <w:r w:rsidRPr="00534139">
        <w:rPr>
          <w:rFonts w:asciiTheme="majorBidi" w:hAnsiTheme="majorBidi" w:cstheme="majorBidi"/>
          <w:sz w:val="24"/>
          <w:szCs w:val="24"/>
        </w:rPr>
        <w:t>, 2010)</w:t>
      </w:r>
      <w:r w:rsidR="00647264">
        <w:rPr>
          <w:rFonts w:asciiTheme="majorBidi" w:hAnsiTheme="majorBidi" w:cstheme="majorBidi"/>
          <w:sz w:val="24"/>
          <w:szCs w:val="24"/>
        </w:rPr>
        <w:t>,</w:t>
      </w:r>
      <w:r w:rsidRPr="00534139">
        <w:rPr>
          <w:rFonts w:asciiTheme="majorBidi" w:hAnsiTheme="majorBidi" w:cstheme="majorBidi"/>
          <w:sz w:val="24"/>
          <w:szCs w:val="24"/>
        </w:rPr>
        <w:t xml:space="preserve"> </w:t>
      </w:r>
      <w:r w:rsidR="00647264">
        <w:rPr>
          <w:rFonts w:asciiTheme="majorBidi" w:hAnsiTheme="majorBidi" w:cstheme="majorBidi"/>
          <w:sz w:val="24"/>
          <w:szCs w:val="24"/>
        </w:rPr>
        <w:t xml:space="preserve">and </w:t>
      </w:r>
      <w:r w:rsidRPr="00534139">
        <w:rPr>
          <w:rFonts w:asciiTheme="majorBidi" w:hAnsiTheme="majorBidi" w:cstheme="majorBidi"/>
          <w:sz w:val="24"/>
          <w:szCs w:val="24"/>
        </w:rPr>
        <w:t>Top No</w:t>
      </w:r>
      <w:r w:rsidR="00647264">
        <w:rPr>
          <w:rFonts w:asciiTheme="majorBidi" w:hAnsiTheme="majorBidi" w:cstheme="majorBidi"/>
          <w:sz w:val="24"/>
          <w:szCs w:val="24"/>
        </w:rPr>
        <w:t>t</w:t>
      </w:r>
      <w:r w:rsidRPr="00534139">
        <w:rPr>
          <w:rFonts w:asciiTheme="majorBidi" w:hAnsiTheme="majorBidi" w:cstheme="majorBidi"/>
          <w:sz w:val="24"/>
          <w:szCs w:val="24"/>
        </w:rPr>
        <w:t>ch (</w:t>
      </w:r>
      <w:proofErr w:type="spellStart"/>
      <w:r w:rsidRPr="00534139">
        <w:rPr>
          <w:rFonts w:asciiTheme="majorBidi" w:hAnsiTheme="majorBidi" w:cstheme="majorBidi"/>
          <w:sz w:val="24"/>
          <w:szCs w:val="24"/>
        </w:rPr>
        <w:t>Ahmadisafa</w:t>
      </w:r>
      <w:proofErr w:type="spellEnd"/>
      <w:r w:rsidRPr="00534139">
        <w:rPr>
          <w:rFonts w:asciiTheme="majorBidi" w:hAnsiTheme="majorBidi" w:cstheme="majorBidi"/>
          <w:sz w:val="24"/>
          <w:szCs w:val="24"/>
        </w:rPr>
        <w:t xml:space="preserve">, </w:t>
      </w:r>
      <w:proofErr w:type="spellStart"/>
      <w:r w:rsidRPr="00534139">
        <w:rPr>
          <w:rFonts w:asciiTheme="majorBidi" w:hAnsiTheme="majorBidi" w:cstheme="majorBidi"/>
          <w:sz w:val="24"/>
          <w:szCs w:val="24"/>
        </w:rPr>
        <w:t>Moradi</w:t>
      </w:r>
      <w:proofErr w:type="spellEnd"/>
      <w:r w:rsidRPr="00534139">
        <w:rPr>
          <w:rFonts w:asciiTheme="majorBidi" w:hAnsiTheme="majorBidi" w:cstheme="majorBidi"/>
          <w:sz w:val="24"/>
          <w:szCs w:val="24"/>
        </w:rPr>
        <w:t xml:space="preserve"> &amp; </w:t>
      </w:r>
      <w:proofErr w:type="spellStart"/>
      <w:r w:rsidRPr="00534139">
        <w:rPr>
          <w:rFonts w:asciiTheme="majorBidi" w:hAnsiTheme="majorBidi" w:cstheme="majorBidi"/>
          <w:sz w:val="24"/>
          <w:szCs w:val="24"/>
        </w:rPr>
        <w:t>Hamzavi</w:t>
      </w:r>
      <w:proofErr w:type="spellEnd"/>
      <w:r w:rsidRPr="00534139">
        <w:rPr>
          <w:rFonts w:asciiTheme="majorBidi" w:hAnsiTheme="majorBidi" w:cstheme="majorBidi"/>
          <w:sz w:val="24"/>
          <w:szCs w:val="24"/>
        </w:rPr>
        <w:t xml:space="preserve">, 2015). Reviewing the existing literature shows </w:t>
      </w:r>
      <w:r w:rsidRPr="00534139">
        <w:rPr>
          <w:rFonts w:asciiTheme="majorBidi" w:hAnsiTheme="majorBidi" w:cstheme="majorBidi"/>
          <w:sz w:val="24"/>
          <w:szCs w:val="24"/>
        </w:rPr>
        <w:lastRenderedPageBreak/>
        <w:t>the prevalence of textbook evaluation studies of book series in the private sector. However, most of these studies have focused on eliciting the teachers' viewpoints. In this sense scant attention has been paid to the learners</w:t>
      </w:r>
      <w:r>
        <w:rPr>
          <w:rFonts w:asciiTheme="majorBidi" w:hAnsiTheme="majorBidi" w:cstheme="majorBidi"/>
          <w:sz w:val="24"/>
          <w:szCs w:val="24"/>
        </w:rPr>
        <w:t>’</w:t>
      </w:r>
      <w:r w:rsidRPr="00534139">
        <w:rPr>
          <w:rFonts w:asciiTheme="majorBidi" w:hAnsiTheme="majorBidi" w:cstheme="majorBidi"/>
          <w:sz w:val="24"/>
          <w:szCs w:val="24"/>
        </w:rPr>
        <w:t xml:space="preserve"> evaluation of the textbooks they study. </w:t>
      </w:r>
    </w:p>
    <w:p w:rsidR="00C2194B" w:rsidRPr="00B96675" w:rsidRDefault="00C2194B" w:rsidP="00B96675">
      <w:pPr>
        <w:jc w:val="both"/>
        <w:rPr>
          <w:rFonts w:asciiTheme="majorBidi" w:hAnsiTheme="majorBidi" w:cstheme="majorBidi"/>
          <w:sz w:val="24"/>
          <w:szCs w:val="24"/>
        </w:rPr>
      </w:pPr>
      <w:r w:rsidRPr="00534139">
        <w:rPr>
          <w:rFonts w:asciiTheme="majorBidi" w:hAnsiTheme="majorBidi" w:cstheme="majorBidi"/>
          <w:sz w:val="24"/>
          <w:szCs w:val="24"/>
        </w:rPr>
        <w:t>Drawing on the learners</w:t>
      </w:r>
      <w:r>
        <w:rPr>
          <w:rFonts w:asciiTheme="majorBidi" w:hAnsiTheme="majorBidi" w:cstheme="majorBidi"/>
          <w:sz w:val="24"/>
          <w:szCs w:val="24"/>
        </w:rPr>
        <w:t>’</w:t>
      </w:r>
      <w:r w:rsidRPr="00534139">
        <w:rPr>
          <w:rFonts w:asciiTheme="majorBidi" w:hAnsiTheme="majorBidi" w:cstheme="majorBidi"/>
          <w:sz w:val="24"/>
          <w:szCs w:val="24"/>
        </w:rPr>
        <w:t xml:space="preserve"> perspectives, as the main users of the textbooks would enable the researchers to investigate the degree of congruity between their perception</w:t>
      </w:r>
      <w:r w:rsidR="00647264">
        <w:rPr>
          <w:rFonts w:asciiTheme="majorBidi" w:hAnsiTheme="majorBidi" w:cstheme="majorBidi"/>
          <w:sz w:val="24"/>
          <w:szCs w:val="24"/>
        </w:rPr>
        <w:t>s</w:t>
      </w:r>
      <w:r w:rsidRPr="00534139">
        <w:rPr>
          <w:rFonts w:asciiTheme="majorBidi" w:hAnsiTheme="majorBidi" w:cstheme="majorBidi"/>
          <w:sz w:val="24"/>
          <w:szCs w:val="24"/>
        </w:rPr>
        <w:t xml:space="preserve"> of their needs and the presented texts and tasks in the textbooks. With this in mind, the current study aimed to evaluate the two widely used English textbooks in Iranian institutes, Solutions and American English File. In fact, these two textbooks were compared in terms of the degree to which they may be potentially effective in meeting the intended users' needs. </w:t>
      </w:r>
      <w:r w:rsidR="00647264">
        <w:rPr>
          <w:rFonts w:asciiTheme="majorBidi" w:hAnsiTheme="majorBidi" w:cstheme="majorBidi"/>
          <w:sz w:val="24"/>
          <w:szCs w:val="24"/>
        </w:rPr>
        <w:t>Taking a seemingly different approach, the researchers asked the possible users of the two textbooks to provide their perceptions of their language needs. Then, the second and the third researchers evaluated the upper-intermediate level of the two textbooks to examine the extent to which these two textbooks would fulfill the learners’ self-perceived needs.</w:t>
      </w:r>
    </w:p>
    <w:p w:rsidR="00A92F58" w:rsidRPr="00EA6B16" w:rsidRDefault="00647264" w:rsidP="00A92F58">
      <w:pPr>
        <w:spacing w:line="360" w:lineRule="auto"/>
        <w:jc w:val="both"/>
        <w:rPr>
          <w:rFonts w:asciiTheme="majorBidi" w:hAnsiTheme="majorBidi" w:cstheme="majorBidi"/>
          <w:sz w:val="24"/>
          <w:szCs w:val="24"/>
        </w:rPr>
      </w:pPr>
      <w:r>
        <w:rPr>
          <w:rFonts w:asciiTheme="majorBidi" w:hAnsiTheme="majorBidi" w:cstheme="majorBidi"/>
          <w:b/>
          <w:bCs/>
          <w:sz w:val="24"/>
          <w:szCs w:val="24"/>
        </w:rPr>
        <w:t>Method</w:t>
      </w:r>
    </w:p>
    <w:p w:rsidR="000D3899" w:rsidRPr="009E3E85" w:rsidRDefault="00A92F58" w:rsidP="009E3E85">
      <w:pPr>
        <w:rPr>
          <w:rFonts w:asciiTheme="majorBidi" w:hAnsiTheme="majorBidi" w:cstheme="majorBidi"/>
          <w:b/>
          <w:bCs/>
          <w:sz w:val="24"/>
          <w:szCs w:val="24"/>
        </w:rPr>
      </w:pPr>
      <w:r w:rsidRPr="00EA6B16">
        <w:rPr>
          <w:rFonts w:asciiTheme="majorBidi" w:hAnsiTheme="majorBidi" w:cstheme="majorBidi"/>
          <w:b/>
          <w:bCs/>
          <w:sz w:val="24"/>
          <w:szCs w:val="24"/>
        </w:rPr>
        <w:t>Materials</w:t>
      </w:r>
    </w:p>
    <w:p w:rsidR="00FA47EF" w:rsidRPr="00EA6B16" w:rsidRDefault="00FA47EF" w:rsidP="009E3E85">
      <w:pPr>
        <w:jc w:val="both"/>
        <w:rPr>
          <w:rFonts w:asciiTheme="majorBidi" w:hAnsiTheme="majorBidi" w:cstheme="majorBidi"/>
          <w:sz w:val="24"/>
          <w:szCs w:val="24"/>
        </w:rPr>
      </w:pPr>
      <w:r w:rsidRPr="00EA6B16">
        <w:rPr>
          <w:rFonts w:asciiTheme="majorBidi" w:hAnsiTheme="majorBidi" w:cstheme="majorBidi"/>
          <w:sz w:val="24"/>
          <w:szCs w:val="24"/>
        </w:rPr>
        <w:t xml:space="preserve">Solutions series </w:t>
      </w:r>
      <w:r w:rsidR="009E3E85">
        <w:rPr>
          <w:rFonts w:asciiTheme="majorBidi" w:hAnsiTheme="majorBidi" w:cstheme="majorBidi"/>
          <w:sz w:val="24"/>
          <w:szCs w:val="24"/>
        </w:rPr>
        <w:t>is</w:t>
      </w:r>
      <w:r w:rsidRPr="00EA6B16">
        <w:rPr>
          <w:rFonts w:asciiTheme="majorBidi" w:hAnsiTheme="majorBidi" w:cstheme="majorBidi"/>
          <w:sz w:val="24"/>
          <w:szCs w:val="24"/>
        </w:rPr>
        <w:t xml:space="preserve"> a five-level English course book for teenagers with a supportive approach to teaching two macro skills of speaking and writing. American English File series </w:t>
      </w:r>
      <w:r w:rsidR="009E3E85">
        <w:rPr>
          <w:rFonts w:asciiTheme="majorBidi" w:hAnsiTheme="majorBidi" w:cstheme="majorBidi"/>
          <w:sz w:val="24"/>
          <w:szCs w:val="24"/>
        </w:rPr>
        <w:t>is</w:t>
      </w:r>
      <w:r w:rsidRPr="00EA6B16">
        <w:rPr>
          <w:rFonts w:asciiTheme="majorBidi" w:hAnsiTheme="majorBidi" w:cstheme="majorBidi"/>
          <w:sz w:val="24"/>
          <w:szCs w:val="24"/>
        </w:rPr>
        <w:t xml:space="preserve"> a six-level English course book </w:t>
      </w:r>
      <w:r w:rsidR="00700B01">
        <w:rPr>
          <w:rFonts w:asciiTheme="majorBidi" w:hAnsiTheme="majorBidi" w:cstheme="majorBidi"/>
          <w:sz w:val="24"/>
          <w:szCs w:val="24"/>
        </w:rPr>
        <w:t xml:space="preserve">for adults </w:t>
      </w:r>
      <w:r w:rsidRPr="00EA6B16">
        <w:rPr>
          <w:rFonts w:asciiTheme="majorBidi" w:hAnsiTheme="majorBidi" w:cstheme="majorBidi"/>
          <w:sz w:val="24"/>
          <w:szCs w:val="24"/>
        </w:rPr>
        <w:t xml:space="preserve">with grammar, vocabulary, and pronunciation practice in every lesson and a special focus on equipping the students for successful speaking. Based on the target sample and objectives of the study the upper-intermediate level of solutions, containing 10 units and the American English File 2, containing </w:t>
      </w:r>
      <w:r w:rsidR="003C39B3" w:rsidRPr="00EA6B16">
        <w:rPr>
          <w:rFonts w:asciiTheme="majorBidi" w:hAnsiTheme="majorBidi" w:cstheme="majorBidi"/>
          <w:sz w:val="24"/>
          <w:szCs w:val="24"/>
        </w:rPr>
        <w:t xml:space="preserve">12 units, </w:t>
      </w:r>
      <w:r w:rsidRPr="00EA6B16">
        <w:rPr>
          <w:rFonts w:asciiTheme="majorBidi" w:hAnsiTheme="majorBidi" w:cstheme="majorBidi"/>
          <w:sz w:val="24"/>
          <w:szCs w:val="24"/>
        </w:rPr>
        <w:t>were chosen.</w:t>
      </w:r>
    </w:p>
    <w:p w:rsidR="00297D7E" w:rsidRPr="00EA6B16" w:rsidRDefault="000D3899" w:rsidP="00E9335A">
      <w:pPr>
        <w:jc w:val="both"/>
        <w:rPr>
          <w:rFonts w:asciiTheme="majorBidi" w:hAnsiTheme="majorBidi" w:cstheme="majorBidi"/>
          <w:sz w:val="24"/>
          <w:szCs w:val="24"/>
        </w:rPr>
      </w:pPr>
      <w:r w:rsidRPr="00EA6B16">
        <w:rPr>
          <w:rFonts w:asciiTheme="majorBidi" w:hAnsiTheme="majorBidi" w:cstheme="majorBidi"/>
          <w:sz w:val="24"/>
          <w:szCs w:val="24"/>
        </w:rPr>
        <w:t xml:space="preserve">The present study was conducted through a questionnaire primarily developed and devised by </w:t>
      </w:r>
      <w:proofErr w:type="spellStart"/>
      <w:r w:rsidRPr="00EA6B16">
        <w:rPr>
          <w:rFonts w:asciiTheme="majorBidi" w:hAnsiTheme="majorBidi" w:cstheme="majorBidi"/>
          <w:sz w:val="24"/>
          <w:szCs w:val="24"/>
        </w:rPr>
        <w:t>Balint</w:t>
      </w:r>
      <w:proofErr w:type="spellEnd"/>
      <w:r w:rsidRPr="00EA6B16">
        <w:rPr>
          <w:rFonts w:asciiTheme="majorBidi" w:hAnsiTheme="majorBidi" w:cstheme="majorBidi"/>
          <w:sz w:val="24"/>
          <w:szCs w:val="24"/>
        </w:rPr>
        <w:t xml:space="preserve"> (</w:t>
      </w:r>
      <w:proofErr w:type="spellStart"/>
      <w:r w:rsidRPr="00EA6B16">
        <w:rPr>
          <w:rFonts w:asciiTheme="majorBidi" w:hAnsiTheme="majorBidi" w:cstheme="majorBidi"/>
          <w:sz w:val="24"/>
          <w:szCs w:val="24"/>
        </w:rPr>
        <w:t>n.d.</w:t>
      </w:r>
      <w:proofErr w:type="spellEnd"/>
      <w:r w:rsidRPr="00EA6B16">
        <w:rPr>
          <w:rFonts w:asciiTheme="majorBidi" w:hAnsiTheme="majorBidi" w:cstheme="majorBidi"/>
          <w:sz w:val="24"/>
          <w:szCs w:val="24"/>
        </w:rPr>
        <w:t>).</w:t>
      </w:r>
      <w:r w:rsidR="00297D7E" w:rsidRPr="00EA6B16">
        <w:rPr>
          <w:rFonts w:asciiTheme="majorBidi" w:hAnsiTheme="majorBidi" w:cstheme="majorBidi"/>
          <w:sz w:val="24"/>
          <w:szCs w:val="24"/>
        </w:rPr>
        <w:t xml:space="preserve"> According to the aims and objectives of the study only </w:t>
      </w:r>
      <w:r w:rsidR="004C2803">
        <w:rPr>
          <w:rFonts w:asciiTheme="majorBidi" w:hAnsiTheme="majorBidi" w:cstheme="majorBidi"/>
          <w:sz w:val="24"/>
          <w:szCs w:val="24"/>
        </w:rPr>
        <w:t>5</w:t>
      </w:r>
      <w:r w:rsidR="00297D7E" w:rsidRPr="00EA6B16">
        <w:rPr>
          <w:rFonts w:asciiTheme="majorBidi" w:hAnsiTheme="majorBidi" w:cstheme="majorBidi"/>
          <w:sz w:val="24"/>
          <w:szCs w:val="24"/>
        </w:rPr>
        <w:t xml:space="preserve"> questions, which concerned the participants’ demographic information and </w:t>
      </w:r>
      <w:r w:rsidR="004C2803">
        <w:rPr>
          <w:rFonts w:asciiTheme="majorBidi" w:hAnsiTheme="majorBidi" w:cstheme="majorBidi"/>
          <w:sz w:val="24"/>
          <w:szCs w:val="24"/>
        </w:rPr>
        <w:t>25</w:t>
      </w:r>
      <w:r w:rsidR="003C39B3" w:rsidRPr="00EA6B16">
        <w:rPr>
          <w:rFonts w:asciiTheme="majorBidi" w:hAnsiTheme="majorBidi" w:cstheme="majorBidi"/>
          <w:sz w:val="24"/>
          <w:szCs w:val="24"/>
        </w:rPr>
        <w:t xml:space="preserve"> questions</w:t>
      </w:r>
      <w:r w:rsidR="004C2803">
        <w:rPr>
          <w:rFonts w:asciiTheme="majorBidi" w:hAnsiTheme="majorBidi" w:cstheme="majorBidi"/>
          <w:sz w:val="24"/>
          <w:szCs w:val="24"/>
        </w:rPr>
        <w:t xml:space="preserve"> from the questionnaire</w:t>
      </w:r>
      <w:r w:rsidR="003C39B3" w:rsidRPr="00EA6B16">
        <w:rPr>
          <w:rFonts w:asciiTheme="majorBidi" w:hAnsiTheme="majorBidi" w:cstheme="majorBidi"/>
          <w:sz w:val="24"/>
          <w:szCs w:val="24"/>
        </w:rPr>
        <w:t>,</w:t>
      </w:r>
      <w:r w:rsidR="00101C87">
        <w:rPr>
          <w:rFonts w:asciiTheme="majorBidi" w:hAnsiTheme="majorBidi" w:cstheme="majorBidi"/>
          <w:sz w:val="24"/>
          <w:szCs w:val="24"/>
        </w:rPr>
        <w:t xml:space="preserve"> </w:t>
      </w:r>
      <w:r w:rsidR="003C39B3" w:rsidRPr="00EA6B16">
        <w:rPr>
          <w:rFonts w:asciiTheme="majorBidi" w:hAnsiTheme="majorBidi" w:cstheme="majorBidi"/>
          <w:sz w:val="24"/>
          <w:szCs w:val="24"/>
        </w:rPr>
        <w:t>chiefly assess</w:t>
      </w:r>
      <w:r w:rsidR="00101C87">
        <w:rPr>
          <w:rFonts w:asciiTheme="majorBidi" w:hAnsiTheme="majorBidi" w:cstheme="majorBidi"/>
          <w:sz w:val="24"/>
          <w:szCs w:val="24"/>
        </w:rPr>
        <w:t>ing</w:t>
      </w:r>
      <w:r w:rsidR="003C39B3" w:rsidRPr="00EA6B16">
        <w:rPr>
          <w:rFonts w:asciiTheme="majorBidi" w:hAnsiTheme="majorBidi" w:cstheme="majorBidi"/>
          <w:sz w:val="24"/>
          <w:szCs w:val="24"/>
        </w:rPr>
        <w:t xml:space="preserve"> the students’ current and future language learning </w:t>
      </w:r>
      <w:r w:rsidR="00101C87">
        <w:rPr>
          <w:rFonts w:asciiTheme="majorBidi" w:hAnsiTheme="majorBidi" w:cstheme="majorBidi"/>
          <w:sz w:val="24"/>
          <w:szCs w:val="24"/>
        </w:rPr>
        <w:t xml:space="preserve">wants and </w:t>
      </w:r>
      <w:r w:rsidR="003C39B3" w:rsidRPr="00EA6B16">
        <w:rPr>
          <w:rFonts w:asciiTheme="majorBidi" w:hAnsiTheme="majorBidi" w:cstheme="majorBidi"/>
          <w:sz w:val="24"/>
          <w:szCs w:val="24"/>
        </w:rPr>
        <w:t xml:space="preserve">needs </w:t>
      </w:r>
      <w:r w:rsidR="00297D7E" w:rsidRPr="00EA6B16">
        <w:rPr>
          <w:rFonts w:asciiTheme="majorBidi" w:hAnsiTheme="majorBidi" w:cstheme="majorBidi"/>
          <w:sz w:val="24"/>
          <w:szCs w:val="24"/>
        </w:rPr>
        <w:t xml:space="preserve">were </w:t>
      </w:r>
      <w:r w:rsidR="009E3E85">
        <w:rPr>
          <w:rFonts w:asciiTheme="majorBidi" w:hAnsiTheme="majorBidi" w:cstheme="majorBidi"/>
          <w:sz w:val="24"/>
          <w:szCs w:val="24"/>
        </w:rPr>
        <w:t>considered.</w:t>
      </w:r>
      <w:r w:rsidR="003C39B3" w:rsidRPr="00EA6B16">
        <w:rPr>
          <w:rFonts w:asciiTheme="majorBidi" w:hAnsiTheme="majorBidi" w:cstheme="majorBidi"/>
          <w:sz w:val="24"/>
          <w:szCs w:val="24"/>
        </w:rPr>
        <w:t xml:space="preserve"> </w:t>
      </w:r>
    </w:p>
    <w:p w:rsidR="00297D7E" w:rsidRPr="00EA6B16" w:rsidRDefault="00297D7E" w:rsidP="00297D7E">
      <w:pPr>
        <w:spacing w:after="0" w:line="360" w:lineRule="auto"/>
        <w:jc w:val="both"/>
        <w:rPr>
          <w:rFonts w:asciiTheme="majorBidi" w:hAnsiTheme="majorBidi" w:cstheme="majorBidi"/>
          <w:b/>
          <w:bCs/>
          <w:sz w:val="24"/>
          <w:szCs w:val="24"/>
          <w:lang w:bidi="fa-IR"/>
        </w:rPr>
      </w:pPr>
      <w:r w:rsidRPr="00EA6B16">
        <w:rPr>
          <w:rFonts w:asciiTheme="majorBidi" w:hAnsiTheme="majorBidi" w:cstheme="majorBidi"/>
          <w:b/>
          <w:bCs/>
          <w:sz w:val="24"/>
          <w:szCs w:val="24"/>
          <w:lang w:bidi="fa-IR"/>
        </w:rPr>
        <w:t>Procedures</w:t>
      </w:r>
    </w:p>
    <w:p w:rsidR="00E01414" w:rsidRDefault="003C39B3" w:rsidP="009E3E85">
      <w:pPr>
        <w:jc w:val="both"/>
        <w:rPr>
          <w:rFonts w:asciiTheme="majorBidi" w:hAnsiTheme="majorBidi" w:cstheme="majorBidi"/>
          <w:sz w:val="24"/>
          <w:szCs w:val="24"/>
        </w:rPr>
      </w:pPr>
      <w:r w:rsidRPr="00EA6B16">
        <w:rPr>
          <w:rFonts w:asciiTheme="majorBidi" w:hAnsiTheme="majorBidi" w:cstheme="majorBidi"/>
          <w:sz w:val="24"/>
          <w:szCs w:val="24"/>
        </w:rPr>
        <w:t xml:space="preserve">The data was gathered through a Likert-scale questionnaire </w:t>
      </w:r>
      <w:r w:rsidR="006E074C">
        <w:rPr>
          <w:rFonts w:asciiTheme="majorBidi" w:hAnsiTheme="majorBidi" w:cstheme="majorBidi"/>
          <w:sz w:val="24"/>
          <w:szCs w:val="24"/>
        </w:rPr>
        <w:t xml:space="preserve">which was submitted electronically </w:t>
      </w:r>
      <w:r w:rsidR="009E3E85">
        <w:rPr>
          <w:rFonts w:asciiTheme="majorBidi" w:hAnsiTheme="majorBidi" w:cstheme="majorBidi"/>
          <w:sz w:val="24"/>
          <w:szCs w:val="24"/>
        </w:rPr>
        <w:t xml:space="preserve">as Google Form. </w:t>
      </w:r>
      <w:r w:rsidRPr="00EA6B16">
        <w:rPr>
          <w:rFonts w:asciiTheme="majorBidi" w:hAnsiTheme="majorBidi" w:cstheme="majorBidi"/>
          <w:sz w:val="24"/>
          <w:szCs w:val="24"/>
        </w:rPr>
        <w:t>The questionnaire w</w:t>
      </w:r>
      <w:r w:rsidR="00E01414">
        <w:rPr>
          <w:rFonts w:asciiTheme="majorBidi" w:hAnsiTheme="majorBidi" w:cstheme="majorBidi"/>
          <w:sz w:val="24"/>
          <w:szCs w:val="24"/>
        </w:rPr>
        <w:t>as given to 20 respondents with heterogeneous</w:t>
      </w:r>
      <w:r w:rsidRPr="00EA6B16">
        <w:rPr>
          <w:rFonts w:asciiTheme="majorBidi" w:hAnsiTheme="majorBidi" w:cstheme="majorBidi"/>
          <w:sz w:val="24"/>
          <w:szCs w:val="24"/>
        </w:rPr>
        <w:t xml:space="preserve"> demographic information</w:t>
      </w:r>
      <w:r w:rsidR="009E3E85">
        <w:rPr>
          <w:rFonts w:asciiTheme="majorBidi" w:hAnsiTheme="majorBidi" w:cstheme="majorBidi"/>
          <w:sz w:val="24"/>
          <w:szCs w:val="24"/>
        </w:rPr>
        <w:t>. T</w:t>
      </w:r>
      <w:r w:rsidR="00101C87">
        <w:rPr>
          <w:rFonts w:asciiTheme="majorBidi" w:hAnsiTheme="majorBidi" w:cstheme="majorBidi"/>
          <w:sz w:val="24"/>
          <w:szCs w:val="24"/>
        </w:rPr>
        <w:t xml:space="preserve">he </w:t>
      </w:r>
      <w:r w:rsidR="009E3E85">
        <w:rPr>
          <w:rFonts w:asciiTheme="majorBidi" w:hAnsiTheme="majorBidi" w:cstheme="majorBidi"/>
          <w:sz w:val="24"/>
          <w:szCs w:val="24"/>
        </w:rPr>
        <w:t xml:space="preserve">students’ age ranged from 15-46. </w:t>
      </w:r>
      <w:r w:rsidR="000C476C" w:rsidRPr="00EA6B16">
        <w:rPr>
          <w:rFonts w:asciiTheme="majorBidi" w:hAnsiTheme="majorBidi" w:cstheme="majorBidi"/>
          <w:sz w:val="24"/>
          <w:szCs w:val="24"/>
        </w:rPr>
        <w:t xml:space="preserve">Apart from the first section of the questionnaire which dealt with </w:t>
      </w:r>
      <w:r w:rsidR="009E3E85">
        <w:rPr>
          <w:rFonts w:asciiTheme="majorBidi" w:hAnsiTheme="majorBidi" w:cstheme="majorBidi"/>
          <w:sz w:val="24"/>
          <w:szCs w:val="24"/>
        </w:rPr>
        <w:t xml:space="preserve">the </w:t>
      </w:r>
      <w:r w:rsidR="000C476C" w:rsidRPr="00EA6B16">
        <w:rPr>
          <w:rFonts w:asciiTheme="majorBidi" w:hAnsiTheme="majorBidi" w:cstheme="majorBidi"/>
          <w:sz w:val="24"/>
          <w:szCs w:val="24"/>
        </w:rPr>
        <w:t>participants’ demographic informati</w:t>
      </w:r>
      <w:r w:rsidR="00101C87">
        <w:rPr>
          <w:rFonts w:asciiTheme="majorBidi" w:hAnsiTheme="majorBidi" w:cstheme="majorBidi"/>
          <w:sz w:val="24"/>
          <w:szCs w:val="24"/>
        </w:rPr>
        <w:t>on,</w:t>
      </w:r>
      <w:r w:rsidR="000C476C" w:rsidRPr="00EA6B16">
        <w:rPr>
          <w:rFonts w:asciiTheme="majorBidi" w:hAnsiTheme="majorBidi" w:cstheme="majorBidi"/>
          <w:sz w:val="24"/>
          <w:szCs w:val="24"/>
        </w:rPr>
        <w:t xml:space="preserve"> the rest </w:t>
      </w:r>
      <w:r w:rsidR="00101C87">
        <w:rPr>
          <w:rFonts w:asciiTheme="majorBidi" w:hAnsiTheme="majorBidi" w:cstheme="majorBidi"/>
          <w:sz w:val="24"/>
          <w:szCs w:val="24"/>
        </w:rPr>
        <w:t xml:space="preserve">of the questions in section two, </w:t>
      </w:r>
      <w:r w:rsidR="000C476C" w:rsidRPr="00EA6B16">
        <w:rPr>
          <w:rFonts w:asciiTheme="majorBidi" w:hAnsiTheme="majorBidi" w:cstheme="majorBidi"/>
          <w:sz w:val="24"/>
          <w:szCs w:val="24"/>
        </w:rPr>
        <w:t xml:space="preserve">chiefly indicated their current and future </w:t>
      </w:r>
      <w:r w:rsidR="00101C87">
        <w:rPr>
          <w:rFonts w:asciiTheme="majorBidi" w:hAnsiTheme="majorBidi" w:cstheme="majorBidi"/>
          <w:sz w:val="24"/>
          <w:szCs w:val="24"/>
        </w:rPr>
        <w:t>wants</w:t>
      </w:r>
      <w:r w:rsidR="009E3E85">
        <w:rPr>
          <w:rFonts w:asciiTheme="majorBidi" w:hAnsiTheme="majorBidi" w:cstheme="majorBidi"/>
          <w:sz w:val="24"/>
          <w:szCs w:val="24"/>
        </w:rPr>
        <w:t>,</w:t>
      </w:r>
      <w:r w:rsidR="00101C87">
        <w:rPr>
          <w:rFonts w:asciiTheme="majorBidi" w:hAnsiTheme="majorBidi" w:cstheme="majorBidi"/>
          <w:sz w:val="24"/>
          <w:szCs w:val="24"/>
        </w:rPr>
        <w:t xml:space="preserve"> and </w:t>
      </w:r>
      <w:r w:rsidR="000C476C" w:rsidRPr="00EA6B16">
        <w:rPr>
          <w:rFonts w:asciiTheme="majorBidi" w:hAnsiTheme="majorBidi" w:cstheme="majorBidi"/>
          <w:sz w:val="24"/>
          <w:szCs w:val="24"/>
        </w:rPr>
        <w:t>needs</w:t>
      </w:r>
      <w:r w:rsidR="004C2803">
        <w:rPr>
          <w:rFonts w:asciiTheme="majorBidi" w:hAnsiTheme="majorBidi" w:cstheme="majorBidi"/>
          <w:sz w:val="24"/>
          <w:szCs w:val="24"/>
        </w:rPr>
        <w:t xml:space="preserve">. The </w:t>
      </w:r>
      <w:r w:rsidR="00101C87">
        <w:rPr>
          <w:rFonts w:asciiTheme="majorBidi" w:hAnsiTheme="majorBidi" w:cstheme="majorBidi"/>
          <w:sz w:val="24"/>
          <w:szCs w:val="24"/>
        </w:rPr>
        <w:t>researchers then, descriptively analyzed the data driven from the questionnaire</w:t>
      </w:r>
      <w:r w:rsidR="009E3E85">
        <w:rPr>
          <w:rFonts w:asciiTheme="majorBidi" w:hAnsiTheme="majorBidi" w:cstheme="majorBidi"/>
          <w:sz w:val="24"/>
          <w:szCs w:val="24"/>
        </w:rPr>
        <w:t>s</w:t>
      </w:r>
      <w:r w:rsidR="00101C87">
        <w:rPr>
          <w:rFonts w:asciiTheme="majorBidi" w:hAnsiTheme="majorBidi" w:cstheme="majorBidi"/>
          <w:sz w:val="24"/>
          <w:szCs w:val="24"/>
        </w:rPr>
        <w:t>.</w:t>
      </w:r>
      <w:r w:rsidR="00447984">
        <w:rPr>
          <w:rFonts w:asciiTheme="majorBidi" w:hAnsiTheme="majorBidi" w:cstheme="majorBidi"/>
          <w:sz w:val="24"/>
          <w:szCs w:val="24"/>
        </w:rPr>
        <w:t xml:space="preserve"> The </w:t>
      </w:r>
      <w:r w:rsidR="008924A2">
        <w:rPr>
          <w:rFonts w:asciiTheme="majorBidi" w:hAnsiTheme="majorBidi" w:cstheme="majorBidi"/>
          <w:sz w:val="24"/>
          <w:szCs w:val="24"/>
        </w:rPr>
        <w:t xml:space="preserve">raw frequencies, </w:t>
      </w:r>
      <w:r w:rsidR="00447984">
        <w:rPr>
          <w:rFonts w:asciiTheme="majorBidi" w:hAnsiTheme="majorBidi" w:cstheme="majorBidi"/>
          <w:sz w:val="24"/>
          <w:szCs w:val="24"/>
        </w:rPr>
        <w:t>the percentage</w:t>
      </w:r>
      <w:r w:rsidR="008924A2">
        <w:rPr>
          <w:rFonts w:asciiTheme="majorBidi" w:hAnsiTheme="majorBidi" w:cstheme="majorBidi"/>
          <w:sz w:val="24"/>
          <w:szCs w:val="24"/>
        </w:rPr>
        <w:t xml:space="preserve"> and the mean value</w:t>
      </w:r>
      <w:r w:rsidR="009E3E85">
        <w:rPr>
          <w:rFonts w:asciiTheme="majorBidi" w:hAnsiTheme="majorBidi" w:cstheme="majorBidi"/>
          <w:sz w:val="24"/>
          <w:szCs w:val="24"/>
        </w:rPr>
        <w:t>s</w:t>
      </w:r>
      <w:r w:rsidR="00447984">
        <w:rPr>
          <w:rFonts w:asciiTheme="majorBidi" w:hAnsiTheme="majorBidi" w:cstheme="majorBidi"/>
          <w:sz w:val="24"/>
          <w:szCs w:val="24"/>
        </w:rPr>
        <w:t xml:space="preserve"> of each chosen item was calculated and then construed by the resea</w:t>
      </w:r>
      <w:r w:rsidR="009E3E85">
        <w:rPr>
          <w:rFonts w:asciiTheme="majorBidi" w:hAnsiTheme="majorBidi" w:cstheme="majorBidi"/>
          <w:sz w:val="24"/>
          <w:szCs w:val="24"/>
        </w:rPr>
        <w:t>rchers. Afterwards, the second and third researchers</w:t>
      </w:r>
      <w:r w:rsidR="00447984">
        <w:rPr>
          <w:rFonts w:asciiTheme="majorBidi" w:hAnsiTheme="majorBidi" w:cstheme="majorBidi"/>
          <w:sz w:val="24"/>
          <w:szCs w:val="24"/>
        </w:rPr>
        <w:t xml:space="preserve"> also filled the questionnaire in order to </w:t>
      </w:r>
      <w:r w:rsidR="009E3E85">
        <w:rPr>
          <w:rFonts w:asciiTheme="majorBidi" w:hAnsiTheme="majorBidi" w:cstheme="majorBidi"/>
          <w:sz w:val="24"/>
          <w:szCs w:val="24"/>
        </w:rPr>
        <w:t>see</w:t>
      </w:r>
      <w:r w:rsidR="00447984">
        <w:rPr>
          <w:rFonts w:asciiTheme="majorBidi" w:hAnsiTheme="majorBidi" w:cstheme="majorBidi"/>
          <w:sz w:val="24"/>
          <w:szCs w:val="24"/>
        </w:rPr>
        <w:t xml:space="preserve"> whether the two aforementioned books were suitable according to the da</w:t>
      </w:r>
      <w:r w:rsidR="009E3E85">
        <w:rPr>
          <w:rFonts w:asciiTheme="majorBidi" w:hAnsiTheme="majorBidi" w:cstheme="majorBidi"/>
          <w:sz w:val="24"/>
          <w:szCs w:val="24"/>
        </w:rPr>
        <w:t>ta of the</w:t>
      </w:r>
      <w:r w:rsidR="006E074C">
        <w:rPr>
          <w:rFonts w:asciiTheme="majorBidi" w:hAnsiTheme="majorBidi" w:cstheme="majorBidi"/>
          <w:sz w:val="24"/>
          <w:szCs w:val="24"/>
        </w:rPr>
        <w:t xml:space="preserve"> students’ needs analysis.</w:t>
      </w:r>
    </w:p>
    <w:p w:rsidR="00E01414" w:rsidRDefault="002A4A3D" w:rsidP="00E01414">
      <w:pPr>
        <w:jc w:val="both"/>
        <w:rPr>
          <w:rFonts w:asciiTheme="majorBidi" w:hAnsiTheme="majorBidi" w:cstheme="majorBidi"/>
          <w:b/>
          <w:bCs/>
          <w:sz w:val="24"/>
          <w:szCs w:val="24"/>
        </w:rPr>
      </w:pPr>
      <w:r>
        <w:rPr>
          <w:rFonts w:asciiTheme="majorBidi" w:hAnsiTheme="majorBidi" w:cstheme="majorBidi"/>
          <w:b/>
          <w:bCs/>
          <w:sz w:val="24"/>
          <w:szCs w:val="24"/>
        </w:rPr>
        <w:t>Findings and Discussion</w:t>
      </w:r>
      <w:bookmarkStart w:id="0" w:name="_GoBack"/>
      <w:bookmarkEnd w:id="0"/>
    </w:p>
    <w:p w:rsidR="009E3E85" w:rsidRDefault="00B1045D" w:rsidP="009E3E85">
      <w:pPr>
        <w:jc w:val="both"/>
        <w:rPr>
          <w:rFonts w:asciiTheme="majorBidi" w:hAnsiTheme="majorBidi" w:cstheme="majorBidi"/>
          <w:sz w:val="24"/>
          <w:szCs w:val="24"/>
        </w:rPr>
      </w:pPr>
      <w:r>
        <w:rPr>
          <w:rFonts w:asciiTheme="majorBidi" w:hAnsiTheme="majorBidi" w:cstheme="majorBidi"/>
          <w:sz w:val="24"/>
          <w:szCs w:val="24"/>
        </w:rPr>
        <w:t>Table 1 represents the frequency,</w:t>
      </w:r>
      <w:r w:rsidRPr="00B1045D">
        <w:rPr>
          <w:rFonts w:asciiTheme="majorBidi" w:hAnsiTheme="majorBidi" w:cstheme="majorBidi"/>
          <w:sz w:val="24"/>
          <w:szCs w:val="24"/>
        </w:rPr>
        <w:t xml:space="preserve"> percentages </w:t>
      </w:r>
      <w:r>
        <w:rPr>
          <w:rFonts w:asciiTheme="majorBidi" w:hAnsiTheme="majorBidi" w:cstheme="majorBidi"/>
          <w:sz w:val="24"/>
          <w:szCs w:val="24"/>
        </w:rPr>
        <w:t>and the mean value</w:t>
      </w:r>
      <w:r w:rsidR="009E3E85">
        <w:rPr>
          <w:rFonts w:asciiTheme="majorBidi" w:hAnsiTheme="majorBidi" w:cstheme="majorBidi"/>
          <w:sz w:val="24"/>
          <w:szCs w:val="24"/>
        </w:rPr>
        <w:t>s</w:t>
      </w:r>
      <w:r>
        <w:rPr>
          <w:rFonts w:asciiTheme="majorBidi" w:hAnsiTheme="majorBidi" w:cstheme="majorBidi"/>
          <w:sz w:val="24"/>
          <w:szCs w:val="24"/>
        </w:rPr>
        <w:t xml:space="preserve"> </w:t>
      </w:r>
      <w:r w:rsidRPr="00B1045D">
        <w:rPr>
          <w:rFonts w:asciiTheme="majorBidi" w:hAnsiTheme="majorBidi" w:cstheme="majorBidi"/>
          <w:sz w:val="24"/>
          <w:szCs w:val="24"/>
        </w:rPr>
        <w:t>of the participant’s responses to the</w:t>
      </w:r>
      <w:r>
        <w:rPr>
          <w:rFonts w:asciiTheme="majorBidi" w:hAnsiTheme="majorBidi" w:cstheme="majorBidi"/>
          <w:sz w:val="24"/>
          <w:szCs w:val="24"/>
        </w:rPr>
        <w:t xml:space="preserve"> items included in the questionnaire. </w:t>
      </w:r>
      <w:r w:rsidR="008D4118">
        <w:rPr>
          <w:rFonts w:asciiTheme="majorBidi" w:hAnsiTheme="majorBidi" w:cstheme="majorBidi"/>
          <w:sz w:val="24"/>
          <w:szCs w:val="24"/>
        </w:rPr>
        <w:t>With regard to the first</w:t>
      </w:r>
      <w:r w:rsidR="00525939">
        <w:rPr>
          <w:rFonts w:asciiTheme="majorBidi" w:hAnsiTheme="majorBidi" w:cstheme="majorBidi"/>
          <w:sz w:val="24"/>
          <w:szCs w:val="24"/>
        </w:rPr>
        <w:t xml:space="preserve"> </w:t>
      </w:r>
      <w:r w:rsidR="008D4118">
        <w:rPr>
          <w:rFonts w:asciiTheme="majorBidi" w:hAnsiTheme="majorBidi" w:cstheme="majorBidi"/>
          <w:sz w:val="24"/>
          <w:szCs w:val="24"/>
        </w:rPr>
        <w:t>item, concerning r</w:t>
      </w:r>
      <w:r w:rsidR="008D4118" w:rsidRPr="008D4118">
        <w:rPr>
          <w:rFonts w:asciiTheme="majorBidi" w:hAnsiTheme="majorBidi" w:cstheme="majorBidi"/>
          <w:sz w:val="24"/>
          <w:szCs w:val="24"/>
        </w:rPr>
        <w:t xml:space="preserve">eading English </w:t>
      </w:r>
      <w:r w:rsidR="008D4118" w:rsidRPr="008D4118">
        <w:rPr>
          <w:rFonts w:asciiTheme="majorBidi" w:hAnsiTheme="majorBidi" w:cstheme="majorBidi"/>
          <w:sz w:val="24"/>
          <w:szCs w:val="24"/>
        </w:rPr>
        <w:lastRenderedPageBreak/>
        <w:t>business documents/business e-mails</w:t>
      </w:r>
      <w:r w:rsidR="008D4118">
        <w:rPr>
          <w:rFonts w:asciiTheme="majorBidi" w:hAnsiTheme="majorBidi" w:cstheme="majorBidi"/>
          <w:sz w:val="24"/>
          <w:szCs w:val="24"/>
        </w:rPr>
        <w:t xml:space="preserve"> (M=4.25)</w:t>
      </w:r>
      <w:r w:rsidR="009E3E85">
        <w:rPr>
          <w:rFonts w:asciiTheme="majorBidi" w:hAnsiTheme="majorBidi" w:cstheme="majorBidi"/>
          <w:sz w:val="24"/>
          <w:szCs w:val="24"/>
        </w:rPr>
        <w:t>,</w:t>
      </w:r>
      <w:r w:rsidR="008D4118">
        <w:rPr>
          <w:rFonts w:asciiTheme="majorBidi" w:hAnsiTheme="majorBidi" w:cstheme="majorBidi"/>
          <w:sz w:val="24"/>
          <w:szCs w:val="24"/>
        </w:rPr>
        <w:t xml:space="preserve"> 25% of the respondents believed that it </w:t>
      </w:r>
      <w:r w:rsidR="009E3E85">
        <w:rPr>
          <w:rFonts w:asciiTheme="majorBidi" w:hAnsiTheme="majorBidi" w:cstheme="majorBidi"/>
          <w:sz w:val="24"/>
          <w:szCs w:val="24"/>
        </w:rPr>
        <w:t>was</w:t>
      </w:r>
      <w:r w:rsidR="008D4118">
        <w:rPr>
          <w:rFonts w:asciiTheme="majorBidi" w:hAnsiTheme="majorBidi" w:cstheme="majorBidi"/>
          <w:sz w:val="24"/>
          <w:szCs w:val="24"/>
        </w:rPr>
        <w:t xml:space="preserve"> of paramount importance for a course to include instructions and training leading to this goal.</w:t>
      </w:r>
      <w:r w:rsidR="00525939">
        <w:rPr>
          <w:rFonts w:asciiTheme="majorBidi" w:hAnsiTheme="majorBidi" w:cstheme="majorBidi"/>
          <w:sz w:val="24"/>
          <w:szCs w:val="24"/>
        </w:rPr>
        <w:t xml:space="preserve"> Considering the second item</w:t>
      </w:r>
      <w:r w:rsidR="009E3E85">
        <w:rPr>
          <w:rFonts w:asciiTheme="majorBidi" w:hAnsiTheme="majorBidi" w:cstheme="majorBidi"/>
          <w:sz w:val="24"/>
          <w:szCs w:val="24"/>
        </w:rPr>
        <w:t>,</w:t>
      </w:r>
      <w:r w:rsidR="00525939">
        <w:rPr>
          <w:rFonts w:asciiTheme="majorBidi" w:hAnsiTheme="majorBidi" w:cstheme="majorBidi"/>
          <w:sz w:val="24"/>
          <w:szCs w:val="24"/>
        </w:rPr>
        <w:t xml:space="preserve"> addressing r</w:t>
      </w:r>
      <w:r w:rsidR="00525939" w:rsidRPr="00525939">
        <w:rPr>
          <w:rFonts w:asciiTheme="majorBidi" w:hAnsiTheme="majorBidi" w:cstheme="majorBidi"/>
          <w:sz w:val="24"/>
          <w:szCs w:val="24"/>
        </w:rPr>
        <w:t>eading English articles on the Internet</w:t>
      </w:r>
      <w:r w:rsidR="00525939">
        <w:rPr>
          <w:rFonts w:asciiTheme="majorBidi" w:hAnsiTheme="majorBidi" w:cstheme="majorBidi"/>
          <w:sz w:val="24"/>
          <w:szCs w:val="24"/>
        </w:rPr>
        <w:t xml:space="preserve"> (M=5.15), 50% of the participants asserted the importance of implementing this factor in their courses. The third item dealing with </w:t>
      </w:r>
      <w:r w:rsidR="00525939">
        <w:rPr>
          <w:rFonts w:asciiTheme="majorBidi" w:hAnsiTheme="majorBidi" w:cstheme="majorBidi"/>
          <w:sz w:val="24"/>
          <w:szCs w:val="24"/>
          <w:lang w:val="en-GB"/>
        </w:rPr>
        <w:t>r</w:t>
      </w:r>
      <w:r w:rsidR="00525939" w:rsidRPr="00525939">
        <w:rPr>
          <w:rFonts w:asciiTheme="majorBidi" w:hAnsiTheme="majorBidi" w:cstheme="majorBidi"/>
          <w:sz w:val="24"/>
          <w:szCs w:val="24"/>
          <w:lang w:val="en-GB"/>
        </w:rPr>
        <w:t>eading English novels for pleasure</w:t>
      </w:r>
      <w:r w:rsidR="00525939">
        <w:rPr>
          <w:rFonts w:asciiTheme="majorBidi" w:hAnsiTheme="majorBidi" w:cstheme="majorBidi"/>
          <w:sz w:val="24"/>
          <w:szCs w:val="24"/>
          <w:lang w:val="en-GB"/>
        </w:rPr>
        <w:t xml:space="preserve"> </w:t>
      </w:r>
      <w:r w:rsidR="00525939" w:rsidRPr="00525939">
        <w:rPr>
          <w:rFonts w:asciiTheme="majorBidi" w:hAnsiTheme="majorBidi" w:cstheme="majorBidi"/>
          <w:sz w:val="24"/>
          <w:szCs w:val="24"/>
        </w:rPr>
        <w:t>(M=</w:t>
      </w:r>
      <w:r w:rsidR="00525939">
        <w:rPr>
          <w:rFonts w:asciiTheme="majorBidi" w:hAnsiTheme="majorBidi" w:cstheme="majorBidi"/>
          <w:sz w:val="24"/>
          <w:szCs w:val="24"/>
        </w:rPr>
        <w:t>4.35</w:t>
      </w:r>
      <w:r w:rsidR="00525939" w:rsidRPr="00525939">
        <w:rPr>
          <w:rFonts w:asciiTheme="majorBidi" w:hAnsiTheme="majorBidi" w:cstheme="majorBidi"/>
          <w:sz w:val="24"/>
          <w:szCs w:val="24"/>
        </w:rPr>
        <w:t>),</w:t>
      </w:r>
      <w:r w:rsidR="00525939">
        <w:rPr>
          <w:rFonts w:asciiTheme="majorBidi" w:hAnsiTheme="majorBidi" w:cstheme="majorBidi"/>
          <w:sz w:val="24"/>
          <w:szCs w:val="24"/>
        </w:rPr>
        <w:t xml:space="preserve"> gained the attention of 20% of the respondents. </w:t>
      </w:r>
      <w:r w:rsidR="00B00E61">
        <w:rPr>
          <w:rFonts w:asciiTheme="majorBidi" w:hAnsiTheme="majorBidi" w:cstheme="majorBidi"/>
          <w:sz w:val="24"/>
          <w:szCs w:val="24"/>
        </w:rPr>
        <w:t>Also, i</w:t>
      </w:r>
      <w:r w:rsidR="00525939">
        <w:rPr>
          <w:rFonts w:asciiTheme="majorBidi" w:hAnsiTheme="majorBidi" w:cstheme="majorBidi"/>
          <w:sz w:val="24"/>
          <w:szCs w:val="24"/>
        </w:rPr>
        <w:t>tem four that questioned the significance of r</w:t>
      </w:r>
      <w:r w:rsidR="00525939" w:rsidRPr="00525939">
        <w:rPr>
          <w:rFonts w:asciiTheme="majorBidi" w:hAnsiTheme="majorBidi" w:cstheme="majorBidi"/>
          <w:sz w:val="24"/>
          <w:szCs w:val="24"/>
        </w:rPr>
        <w:t>eading English newspapers</w:t>
      </w:r>
      <w:r w:rsidR="00525939">
        <w:rPr>
          <w:rFonts w:asciiTheme="majorBidi" w:hAnsiTheme="majorBidi" w:cstheme="majorBidi"/>
          <w:sz w:val="24"/>
          <w:szCs w:val="24"/>
        </w:rPr>
        <w:t xml:space="preserve"> </w:t>
      </w:r>
      <w:r w:rsidR="00B00E61" w:rsidRPr="00525939">
        <w:rPr>
          <w:rFonts w:asciiTheme="majorBidi" w:hAnsiTheme="majorBidi" w:cstheme="majorBidi"/>
          <w:sz w:val="24"/>
          <w:szCs w:val="24"/>
        </w:rPr>
        <w:t>(M=</w:t>
      </w:r>
      <w:r w:rsidR="00B00E61">
        <w:rPr>
          <w:rFonts w:asciiTheme="majorBidi" w:hAnsiTheme="majorBidi" w:cstheme="majorBidi"/>
          <w:sz w:val="24"/>
          <w:szCs w:val="24"/>
        </w:rPr>
        <w:t>3.9</w:t>
      </w:r>
      <w:r w:rsidR="00B00E61" w:rsidRPr="00525939">
        <w:rPr>
          <w:rFonts w:asciiTheme="majorBidi" w:hAnsiTheme="majorBidi" w:cstheme="majorBidi"/>
          <w:sz w:val="24"/>
          <w:szCs w:val="24"/>
        </w:rPr>
        <w:t>),</w:t>
      </w:r>
      <w:r w:rsidR="00B00E61">
        <w:rPr>
          <w:rFonts w:asciiTheme="majorBidi" w:hAnsiTheme="majorBidi" w:cstheme="majorBidi"/>
          <w:sz w:val="24"/>
          <w:szCs w:val="24"/>
        </w:rPr>
        <w:t xml:space="preserve"> could get 20% of the votes signifying its impor</w:t>
      </w:r>
      <w:r w:rsidR="005B24B0">
        <w:rPr>
          <w:rFonts w:asciiTheme="majorBidi" w:hAnsiTheme="majorBidi" w:cstheme="majorBidi"/>
          <w:sz w:val="24"/>
          <w:szCs w:val="24"/>
        </w:rPr>
        <w:t xml:space="preserve">tance. </w:t>
      </w:r>
    </w:p>
    <w:p w:rsidR="00B1045D" w:rsidRPr="003B43A6" w:rsidRDefault="005B24B0" w:rsidP="009E3E85">
      <w:pPr>
        <w:jc w:val="both"/>
        <w:rPr>
          <w:rFonts w:asciiTheme="majorBidi" w:hAnsiTheme="majorBidi" w:cstheme="majorBidi"/>
          <w:sz w:val="24"/>
          <w:szCs w:val="24"/>
        </w:rPr>
      </w:pPr>
      <w:r>
        <w:rPr>
          <w:rFonts w:asciiTheme="majorBidi" w:hAnsiTheme="majorBidi" w:cstheme="majorBidi"/>
          <w:sz w:val="24"/>
          <w:szCs w:val="24"/>
        </w:rPr>
        <w:t xml:space="preserve">The fifth item </w:t>
      </w:r>
      <w:r w:rsidRPr="00525939">
        <w:rPr>
          <w:rFonts w:asciiTheme="majorBidi" w:hAnsiTheme="majorBidi" w:cstheme="majorBidi"/>
          <w:sz w:val="24"/>
          <w:szCs w:val="24"/>
        </w:rPr>
        <w:t>(M=</w:t>
      </w:r>
      <w:r>
        <w:rPr>
          <w:rFonts w:asciiTheme="majorBidi" w:hAnsiTheme="majorBidi" w:cstheme="majorBidi"/>
          <w:sz w:val="24"/>
          <w:szCs w:val="24"/>
        </w:rPr>
        <w:t>4.95</w:t>
      </w:r>
      <w:r w:rsidRPr="00525939">
        <w:rPr>
          <w:rFonts w:asciiTheme="majorBidi" w:hAnsiTheme="majorBidi" w:cstheme="majorBidi"/>
          <w:sz w:val="24"/>
          <w:szCs w:val="24"/>
        </w:rPr>
        <w:t>)</w:t>
      </w:r>
      <w:r w:rsidR="009E3E85">
        <w:rPr>
          <w:rFonts w:asciiTheme="majorBidi" w:hAnsiTheme="majorBidi" w:cstheme="majorBidi"/>
          <w:sz w:val="24"/>
          <w:szCs w:val="24"/>
        </w:rPr>
        <w:t>,</w:t>
      </w:r>
      <w:r>
        <w:rPr>
          <w:rFonts w:asciiTheme="majorBidi" w:hAnsiTheme="majorBidi" w:cstheme="majorBidi"/>
          <w:sz w:val="24"/>
          <w:szCs w:val="24"/>
        </w:rPr>
        <w:t xml:space="preserve"> addressing </w:t>
      </w:r>
      <w:r>
        <w:rPr>
          <w:rFonts w:asciiTheme="majorBidi" w:hAnsiTheme="majorBidi" w:cstheme="majorBidi"/>
          <w:sz w:val="24"/>
          <w:szCs w:val="24"/>
          <w:lang w:val="en-GB"/>
        </w:rPr>
        <w:t>r</w:t>
      </w:r>
      <w:r w:rsidRPr="005B24B0">
        <w:rPr>
          <w:rFonts w:asciiTheme="majorBidi" w:hAnsiTheme="majorBidi" w:cstheme="majorBidi"/>
          <w:sz w:val="24"/>
          <w:szCs w:val="24"/>
          <w:lang w:val="en-GB"/>
        </w:rPr>
        <w:t>eading e-mails from foreign friends written in English</w:t>
      </w:r>
      <w:r w:rsidRPr="00525939">
        <w:rPr>
          <w:rFonts w:asciiTheme="majorBidi" w:hAnsiTheme="majorBidi" w:cstheme="majorBidi"/>
          <w:sz w:val="24"/>
          <w:szCs w:val="24"/>
        </w:rPr>
        <w:t>,</w:t>
      </w:r>
      <w:r>
        <w:rPr>
          <w:rFonts w:asciiTheme="majorBidi" w:hAnsiTheme="majorBidi" w:cstheme="majorBidi"/>
          <w:sz w:val="24"/>
          <w:szCs w:val="24"/>
        </w:rPr>
        <w:t xml:space="preserve"> showed that 40% of the respondents asserted its significance in their perspectives. Regarding the sixth item</w:t>
      </w:r>
      <w:r w:rsidR="009E3E85">
        <w:rPr>
          <w:rFonts w:asciiTheme="majorBidi" w:hAnsiTheme="majorBidi" w:cstheme="majorBidi"/>
          <w:sz w:val="24"/>
          <w:szCs w:val="24"/>
        </w:rPr>
        <w:t xml:space="preserve"> </w:t>
      </w:r>
      <w:r w:rsidRPr="00525939">
        <w:rPr>
          <w:rFonts w:asciiTheme="majorBidi" w:hAnsiTheme="majorBidi" w:cstheme="majorBidi"/>
          <w:sz w:val="24"/>
          <w:szCs w:val="24"/>
        </w:rPr>
        <w:t>(M=</w:t>
      </w:r>
      <w:r>
        <w:rPr>
          <w:rFonts w:asciiTheme="majorBidi" w:hAnsiTheme="majorBidi" w:cstheme="majorBidi"/>
          <w:sz w:val="24"/>
          <w:szCs w:val="24"/>
        </w:rPr>
        <w:t>5.15</w:t>
      </w:r>
      <w:r w:rsidRPr="00525939">
        <w:rPr>
          <w:rFonts w:asciiTheme="majorBidi" w:hAnsiTheme="majorBidi" w:cstheme="majorBidi"/>
          <w:sz w:val="24"/>
          <w:szCs w:val="24"/>
        </w:rPr>
        <w:t>)</w:t>
      </w:r>
      <w:r>
        <w:rPr>
          <w:rFonts w:asciiTheme="majorBidi" w:hAnsiTheme="majorBidi" w:cstheme="majorBidi"/>
          <w:sz w:val="24"/>
          <w:szCs w:val="24"/>
        </w:rPr>
        <w:t xml:space="preserve">, the results indicated that 55% of the respondents chose this item as very important in a general English course in accord with their needs. Items seven to eleven dealt with questions concerning listening. Considering item seven </w:t>
      </w:r>
      <w:r w:rsidRPr="00525939">
        <w:rPr>
          <w:rFonts w:asciiTheme="majorBidi" w:hAnsiTheme="majorBidi" w:cstheme="majorBidi"/>
          <w:sz w:val="24"/>
          <w:szCs w:val="24"/>
        </w:rPr>
        <w:t>(M=</w:t>
      </w:r>
      <w:r>
        <w:rPr>
          <w:rFonts w:asciiTheme="majorBidi" w:hAnsiTheme="majorBidi" w:cstheme="majorBidi"/>
          <w:sz w:val="24"/>
          <w:szCs w:val="24"/>
        </w:rPr>
        <w:t>5.1</w:t>
      </w:r>
      <w:r w:rsidRPr="00525939">
        <w:rPr>
          <w:rFonts w:asciiTheme="majorBidi" w:hAnsiTheme="majorBidi" w:cstheme="majorBidi"/>
          <w:sz w:val="24"/>
          <w:szCs w:val="24"/>
        </w:rPr>
        <w:t>)</w:t>
      </w:r>
      <w:r>
        <w:rPr>
          <w:rFonts w:asciiTheme="majorBidi" w:hAnsiTheme="majorBidi" w:cstheme="majorBidi"/>
          <w:sz w:val="24"/>
          <w:szCs w:val="24"/>
        </w:rPr>
        <w:t>, which focused on l</w:t>
      </w:r>
      <w:r w:rsidRPr="005B24B0">
        <w:rPr>
          <w:rFonts w:asciiTheme="majorBidi" w:hAnsiTheme="majorBidi" w:cstheme="majorBidi"/>
          <w:sz w:val="24"/>
          <w:szCs w:val="24"/>
        </w:rPr>
        <w:t>istening in meetings or small-group discussions at work with English-speaking members</w:t>
      </w:r>
      <w:r>
        <w:rPr>
          <w:rFonts w:asciiTheme="majorBidi" w:hAnsiTheme="majorBidi" w:cstheme="majorBidi"/>
          <w:sz w:val="24"/>
          <w:szCs w:val="24"/>
        </w:rPr>
        <w:t xml:space="preserve">, </w:t>
      </w:r>
      <w:r w:rsidR="003B43A6">
        <w:rPr>
          <w:rFonts w:asciiTheme="majorBidi" w:hAnsiTheme="majorBidi" w:cstheme="majorBidi"/>
          <w:sz w:val="24"/>
          <w:szCs w:val="24"/>
        </w:rPr>
        <w:t>55% of the participants agreed that practicing listening in their course would help them enhance their skills to understand a lot of the discussion</w:t>
      </w:r>
      <w:r w:rsidR="009E3E85">
        <w:rPr>
          <w:rFonts w:asciiTheme="majorBidi" w:hAnsiTheme="majorBidi" w:cstheme="majorBidi"/>
          <w:sz w:val="24"/>
          <w:szCs w:val="24"/>
        </w:rPr>
        <w:t>s going on at work with English-</w:t>
      </w:r>
      <w:r w:rsidR="003B43A6">
        <w:rPr>
          <w:rFonts w:asciiTheme="majorBidi" w:hAnsiTheme="majorBidi" w:cstheme="majorBidi"/>
          <w:sz w:val="24"/>
          <w:szCs w:val="24"/>
        </w:rPr>
        <w:t xml:space="preserve">speaking members. The results </w:t>
      </w:r>
      <w:r w:rsidR="009E3E85">
        <w:rPr>
          <w:rFonts w:asciiTheme="majorBidi" w:hAnsiTheme="majorBidi" w:cstheme="majorBidi"/>
          <w:sz w:val="24"/>
          <w:szCs w:val="24"/>
        </w:rPr>
        <w:t>for</w:t>
      </w:r>
      <w:r w:rsidR="003B43A6">
        <w:rPr>
          <w:rFonts w:asciiTheme="majorBidi" w:hAnsiTheme="majorBidi" w:cstheme="majorBidi"/>
          <w:sz w:val="24"/>
          <w:szCs w:val="24"/>
        </w:rPr>
        <w:t xml:space="preserve"> item eight </w:t>
      </w:r>
      <w:r w:rsidR="003B43A6" w:rsidRPr="003B43A6">
        <w:rPr>
          <w:rFonts w:asciiTheme="majorBidi" w:hAnsiTheme="majorBidi" w:cstheme="majorBidi"/>
          <w:sz w:val="24"/>
          <w:szCs w:val="24"/>
        </w:rPr>
        <w:t>(M=</w:t>
      </w:r>
      <w:r w:rsidR="003B43A6">
        <w:rPr>
          <w:rFonts w:asciiTheme="majorBidi" w:hAnsiTheme="majorBidi" w:cstheme="majorBidi"/>
          <w:sz w:val="24"/>
          <w:szCs w:val="24"/>
        </w:rPr>
        <w:t>4.95</w:t>
      </w:r>
      <w:r w:rsidR="003B43A6" w:rsidRPr="003B43A6">
        <w:rPr>
          <w:rFonts w:asciiTheme="majorBidi" w:hAnsiTheme="majorBidi" w:cstheme="majorBidi"/>
          <w:sz w:val="24"/>
          <w:szCs w:val="24"/>
        </w:rPr>
        <w:t xml:space="preserve">), </w:t>
      </w:r>
      <w:r w:rsidR="003B43A6">
        <w:rPr>
          <w:rFonts w:asciiTheme="majorBidi" w:hAnsiTheme="majorBidi" w:cstheme="majorBidi"/>
          <w:sz w:val="24"/>
          <w:szCs w:val="24"/>
        </w:rPr>
        <w:t>which for the most part devoted its attention on l</w:t>
      </w:r>
      <w:r w:rsidR="003B43A6" w:rsidRPr="003B43A6">
        <w:rPr>
          <w:rFonts w:asciiTheme="majorBidi" w:hAnsiTheme="majorBidi" w:cstheme="majorBidi"/>
          <w:sz w:val="24"/>
          <w:szCs w:val="24"/>
        </w:rPr>
        <w:t>istening to take notes of a class lecture in English</w:t>
      </w:r>
      <w:r w:rsidR="003B43A6">
        <w:rPr>
          <w:rFonts w:asciiTheme="majorBidi" w:hAnsiTheme="majorBidi" w:cstheme="majorBidi"/>
          <w:sz w:val="24"/>
          <w:szCs w:val="24"/>
        </w:rPr>
        <w:t xml:space="preserve">, indicated that 40% of the students asserted the importance of practicing this macro skill in order to make the most of a class lecture. Regarding item nine </w:t>
      </w:r>
      <w:r w:rsidR="003B43A6" w:rsidRPr="003B43A6">
        <w:rPr>
          <w:rFonts w:asciiTheme="majorBidi" w:hAnsiTheme="majorBidi" w:cstheme="majorBidi"/>
          <w:sz w:val="24"/>
          <w:szCs w:val="24"/>
        </w:rPr>
        <w:t>(M=4.</w:t>
      </w:r>
      <w:r w:rsidR="003B43A6">
        <w:rPr>
          <w:rFonts w:asciiTheme="majorBidi" w:hAnsiTheme="majorBidi" w:cstheme="majorBidi"/>
          <w:sz w:val="24"/>
          <w:szCs w:val="24"/>
        </w:rPr>
        <w:t>8</w:t>
      </w:r>
      <w:r w:rsidR="003B43A6" w:rsidRPr="003B43A6">
        <w:rPr>
          <w:rFonts w:asciiTheme="majorBidi" w:hAnsiTheme="majorBidi" w:cstheme="majorBidi"/>
          <w:sz w:val="24"/>
          <w:szCs w:val="24"/>
        </w:rPr>
        <w:t xml:space="preserve">), </w:t>
      </w:r>
      <w:r w:rsidR="003B43A6">
        <w:rPr>
          <w:rFonts w:asciiTheme="majorBidi" w:hAnsiTheme="majorBidi" w:cstheme="majorBidi"/>
          <w:sz w:val="24"/>
          <w:szCs w:val="24"/>
        </w:rPr>
        <w:t>only 35% of the participants considered l</w:t>
      </w:r>
      <w:r w:rsidR="003B43A6" w:rsidRPr="003B43A6">
        <w:rPr>
          <w:rFonts w:asciiTheme="majorBidi" w:hAnsiTheme="majorBidi" w:cstheme="majorBidi"/>
          <w:sz w:val="24"/>
          <w:szCs w:val="24"/>
        </w:rPr>
        <w:t>istening to a speech in a conference given in English</w:t>
      </w:r>
      <w:r w:rsidR="003B43A6">
        <w:rPr>
          <w:rFonts w:asciiTheme="majorBidi" w:hAnsiTheme="majorBidi" w:cstheme="majorBidi"/>
          <w:sz w:val="24"/>
          <w:szCs w:val="24"/>
        </w:rPr>
        <w:t xml:space="preserve"> as an actual need in their life. Item ten addressing </w:t>
      </w:r>
      <w:r w:rsidR="009E3E85">
        <w:rPr>
          <w:rFonts w:asciiTheme="majorBidi" w:hAnsiTheme="majorBidi" w:cstheme="majorBidi"/>
          <w:sz w:val="24"/>
          <w:szCs w:val="24"/>
        </w:rPr>
        <w:t>w</w:t>
      </w:r>
      <w:r w:rsidR="003B43A6" w:rsidRPr="003B43A6">
        <w:rPr>
          <w:rFonts w:asciiTheme="majorBidi" w:hAnsiTheme="majorBidi" w:cstheme="majorBidi"/>
          <w:sz w:val="24"/>
          <w:szCs w:val="24"/>
        </w:rPr>
        <w:t>atching movies or TV programs in English</w:t>
      </w:r>
      <w:r w:rsidR="003B43A6">
        <w:rPr>
          <w:rFonts w:asciiTheme="majorBidi" w:hAnsiTheme="majorBidi" w:cstheme="majorBidi"/>
          <w:sz w:val="24"/>
          <w:szCs w:val="24"/>
        </w:rPr>
        <w:t xml:space="preserve"> </w:t>
      </w:r>
      <w:r w:rsidR="003B43A6" w:rsidRPr="003B43A6">
        <w:rPr>
          <w:rFonts w:asciiTheme="majorBidi" w:hAnsiTheme="majorBidi" w:cstheme="majorBidi"/>
          <w:sz w:val="24"/>
          <w:szCs w:val="24"/>
        </w:rPr>
        <w:t>(M=</w:t>
      </w:r>
      <w:r w:rsidR="003B43A6">
        <w:rPr>
          <w:rFonts w:asciiTheme="majorBidi" w:hAnsiTheme="majorBidi" w:cstheme="majorBidi"/>
          <w:sz w:val="24"/>
          <w:szCs w:val="24"/>
        </w:rPr>
        <w:t>5.5</w:t>
      </w:r>
      <w:r w:rsidR="003B43A6" w:rsidRPr="003B43A6">
        <w:rPr>
          <w:rFonts w:asciiTheme="majorBidi" w:hAnsiTheme="majorBidi" w:cstheme="majorBidi"/>
          <w:sz w:val="24"/>
          <w:szCs w:val="24"/>
        </w:rPr>
        <w:t>),</w:t>
      </w:r>
      <w:r w:rsidR="003B43A6">
        <w:rPr>
          <w:rFonts w:asciiTheme="majorBidi" w:hAnsiTheme="majorBidi" w:cstheme="majorBidi"/>
          <w:sz w:val="24"/>
          <w:szCs w:val="24"/>
        </w:rPr>
        <w:t xml:space="preserve"> was selected as a significant need among the participant</w:t>
      </w:r>
      <w:r w:rsidR="009E3E85">
        <w:rPr>
          <w:rFonts w:asciiTheme="majorBidi" w:hAnsiTheme="majorBidi" w:cstheme="majorBidi"/>
          <w:sz w:val="24"/>
          <w:szCs w:val="24"/>
        </w:rPr>
        <w:t xml:space="preserve">s </w:t>
      </w:r>
      <w:r w:rsidR="003B43A6">
        <w:rPr>
          <w:rFonts w:asciiTheme="majorBidi" w:hAnsiTheme="majorBidi" w:cstheme="majorBidi"/>
          <w:sz w:val="24"/>
          <w:szCs w:val="24"/>
        </w:rPr>
        <w:t>catching the attention of 7</w:t>
      </w:r>
      <w:r w:rsidR="008E6BAD">
        <w:rPr>
          <w:rFonts w:asciiTheme="majorBidi" w:hAnsiTheme="majorBidi" w:cstheme="majorBidi"/>
          <w:sz w:val="24"/>
          <w:szCs w:val="24"/>
        </w:rPr>
        <w:t>0</w:t>
      </w:r>
      <w:r w:rsidR="003B43A6">
        <w:rPr>
          <w:rFonts w:asciiTheme="majorBidi" w:hAnsiTheme="majorBidi" w:cstheme="majorBidi"/>
          <w:sz w:val="24"/>
          <w:szCs w:val="24"/>
        </w:rPr>
        <w:t xml:space="preserve">% of the </w:t>
      </w:r>
      <w:r w:rsidR="008E6BAD">
        <w:rPr>
          <w:rFonts w:asciiTheme="majorBidi" w:hAnsiTheme="majorBidi" w:cstheme="majorBidi"/>
          <w:sz w:val="24"/>
          <w:szCs w:val="24"/>
        </w:rPr>
        <w:t xml:space="preserve">participants. Item eleven </w:t>
      </w:r>
      <w:r w:rsidR="008E6BAD" w:rsidRPr="003B43A6">
        <w:rPr>
          <w:rFonts w:asciiTheme="majorBidi" w:hAnsiTheme="majorBidi" w:cstheme="majorBidi"/>
          <w:sz w:val="24"/>
          <w:szCs w:val="24"/>
        </w:rPr>
        <w:t>(M=</w:t>
      </w:r>
      <w:r w:rsidR="008E6BAD">
        <w:rPr>
          <w:rFonts w:asciiTheme="majorBidi" w:hAnsiTheme="majorBidi" w:cstheme="majorBidi"/>
          <w:sz w:val="24"/>
          <w:szCs w:val="24"/>
        </w:rPr>
        <w:t>4.9</w:t>
      </w:r>
      <w:r w:rsidR="008E6BAD" w:rsidRPr="003B43A6">
        <w:rPr>
          <w:rFonts w:asciiTheme="majorBidi" w:hAnsiTheme="majorBidi" w:cstheme="majorBidi"/>
          <w:sz w:val="24"/>
          <w:szCs w:val="24"/>
        </w:rPr>
        <w:t>),</w:t>
      </w:r>
      <w:r w:rsidR="008E6BAD">
        <w:rPr>
          <w:rFonts w:asciiTheme="majorBidi" w:hAnsiTheme="majorBidi" w:cstheme="majorBidi"/>
          <w:sz w:val="24"/>
          <w:szCs w:val="24"/>
        </w:rPr>
        <w:t xml:space="preserve"> l</w:t>
      </w:r>
      <w:r w:rsidR="008E6BAD" w:rsidRPr="008E6BAD">
        <w:rPr>
          <w:rFonts w:asciiTheme="majorBidi" w:hAnsiTheme="majorBidi" w:cstheme="majorBidi"/>
          <w:sz w:val="24"/>
          <w:szCs w:val="24"/>
        </w:rPr>
        <w:t>istening to English language music</w:t>
      </w:r>
      <w:r w:rsidR="008E6BAD">
        <w:rPr>
          <w:rFonts w:asciiTheme="majorBidi" w:hAnsiTheme="majorBidi" w:cstheme="majorBidi"/>
          <w:sz w:val="24"/>
          <w:szCs w:val="24"/>
        </w:rPr>
        <w:t xml:space="preserve">, elicited 45% of the participants’ agreement as an important need. </w:t>
      </w:r>
    </w:p>
    <w:p w:rsidR="009E3E85" w:rsidRDefault="008E6BAD" w:rsidP="00383E3E">
      <w:pPr>
        <w:jc w:val="both"/>
        <w:rPr>
          <w:rFonts w:asciiTheme="majorBidi" w:hAnsiTheme="majorBidi" w:cstheme="majorBidi"/>
          <w:sz w:val="24"/>
          <w:szCs w:val="24"/>
        </w:rPr>
      </w:pPr>
      <w:r>
        <w:rPr>
          <w:rFonts w:asciiTheme="majorBidi" w:hAnsiTheme="majorBidi" w:cstheme="majorBidi"/>
          <w:sz w:val="24"/>
          <w:szCs w:val="24"/>
        </w:rPr>
        <w:t>Questions twelve to eighteen focused on</w:t>
      </w:r>
      <w:r w:rsidR="009E3E85">
        <w:rPr>
          <w:rFonts w:asciiTheme="majorBidi" w:hAnsiTheme="majorBidi" w:cstheme="majorBidi"/>
          <w:sz w:val="24"/>
          <w:szCs w:val="24"/>
        </w:rPr>
        <w:t xml:space="preserve"> questions regarding speaking. As regards i</w:t>
      </w:r>
      <w:r>
        <w:rPr>
          <w:rFonts w:asciiTheme="majorBidi" w:hAnsiTheme="majorBidi" w:cstheme="majorBidi"/>
          <w:sz w:val="24"/>
          <w:szCs w:val="24"/>
        </w:rPr>
        <w:t xml:space="preserve">tem twelve </w:t>
      </w:r>
      <w:r w:rsidRPr="008E6BAD">
        <w:rPr>
          <w:rFonts w:asciiTheme="majorBidi" w:hAnsiTheme="majorBidi" w:cstheme="majorBidi"/>
          <w:sz w:val="24"/>
          <w:szCs w:val="24"/>
        </w:rPr>
        <w:t>(M=4.</w:t>
      </w:r>
      <w:r>
        <w:rPr>
          <w:rFonts w:asciiTheme="majorBidi" w:hAnsiTheme="majorBidi" w:cstheme="majorBidi"/>
          <w:sz w:val="24"/>
          <w:szCs w:val="24"/>
        </w:rPr>
        <w:t>6</w:t>
      </w:r>
      <w:r w:rsidRPr="008E6BAD">
        <w:rPr>
          <w:rFonts w:asciiTheme="majorBidi" w:hAnsiTheme="majorBidi" w:cstheme="majorBidi"/>
          <w:sz w:val="24"/>
          <w:szCs w:val="24"/>
        </w:rPr>
        <w:t xml:space="preserve">), </w:t>
      </w:r>
      <w:r>
        <w:rPr>
          <w:rFonts w:asciiTheme="majorBidi" w:hAnsiTheme="majorBidi" w:cstheme="majorBidi"/>
          <w:sz w:val="24"/>
          <w:szCs w:val="24"/>
        </w:rPr>
        <w:t>regarding s</w:t>
      </w:r>
      <w:r w:rsidRPr="008E6BAD">
        <w:rPr>
          <w:rFonts w:asciiTheme="majorBidi" w:hAnsiTheme="majorBidi" w:cstheme="majorBidi"/>
          <w:sz w:val="24"/>
          <w:szCs w:val="24"/>
        </w:rPr>
        <w:t>peaking informally in English with foreign tourists</w:t>
      </w:r>
      <w:r>
        <w:rPr>
          <w:rFonts w:asciiTheme="majorBidi" w:hAnsiTheme="majorBidi" w:cstheme="majorBidi"/>
          <w:sz w:val="24"/>
          <w:szCs w:val="24"/>
        </w:rPr>
        <w:t xml:space="preserve">, only 35% of the participants expressed their agreement on the significance of this item as an actual need according to their objectives. Item thirteen </w:t>
      </w:r>
      <w:r w:rsidRPr="008E6BAD">
        <w:rPr>
          <w:rFonts w:asciiTheme="majorBidi" w:hAnsiTheme="majorBidi" w:cstheme="majorBidi"/>
          <w:sz w:val="24"/>
          <w:szCs w:val="24"/>
        </w:rPr>
        <w:t>(M=4.</w:t>
      </w:r>
      <w:r>
        <w:rPr>
          <w:rFonts w:asciiTheme="majorBidi" w:hAnsiTheme="majorBidi" w:cstheme="majorBidi"/>
          <w:sz w:val="24"/>
          <w:szCs w:val="24"/>
        </w:rPr>
        <w:t>95</w:t>
      </w:r>
      <w:r w:rsidRPr="008E6BAD">
        <w:rPr>
          <w:rFonts w:asciiTheme="majorBidi" w:hAnsiTheme="majorBidi" w:cstheme="majorBidi"/>
          <w:sz w:val="24"/>
          <w:szCs w:val="24"/>
        </w:rPr>
        <w:t>),</w:t>
      </w:r>
      <w:r>
        <w:rPr>
          <w:rFonts w:asciiTheme="majorBidi" w:hAnsiTheme="majorBidi" w:cstheme="majorBidi"/>
          <w:sz w:val="24"/>
          <w:szCs w:val="24"/>
        </w:rPr>
        <w:t xml:space="preserve"> concerning g</w:t>
      </w:r>
      <w:r w:rsidRPr="008E6BAD">
        <w:rPr>
          <w:rFonts w:asciiTheme="majorBidi" w:hAnsiTheme="majorBidi" w:cstheme="majorBidi"/>
          <w:sz w:val="24"/>
          <w:szCs w:val="24"/>
        </w:rPr>
        <w:t>iving formal speec</w:t>
      </w:r>
      <w:r w:rsidR="009E3E85">
        <w:rPr>
          <w:rFonts w:asciiTheme="majorBidi" w:hAnsiTheme="majorBidi" w:cstheme="majorBidi"/>
          <w:sz w:val="24"/>
          <w:szCs w:val="24"/>
        </w:rPr>
        <w:t xml:space="preserve">hes/presentations in English at </w:t>
      </w:r>
      <w:r w:rsidRPr="008E6BAD">
        <w:rPr>
          <w:rFonts w:asciiTheme="majorBidi" w:hAnsiTheme="majorBidi" w:cstheme="majorBidi"/>
          <w:sz w:val="24"/>
          <w:szCs w:val="24"/>
        </w:rPr>
        <w:t>international conferences</w:t>
      </w:r>
      <w:r>
        <w:rPr>
          <w:rFonts w:asciiTheme="majorBidi" w:hAnsiTheme="majorBidi" w:cstheme="majorBidi"/>
          <w:sz w:val="24"/>
          <w:szCs w:val="24"/>
        </w:rPr>
        <w:t xml:space="preserve">, gained 50 % of the respondents’ agreement as an important need. Item fourteen </w:t>
      </w:r>
      <w:r w:rsidRPr="008E6BAD">
        <w:rPr>
          <w:rFonts w:asciiTheme="majorBidi" w:hAnsiTheme="majorBidi" w:cstheme="majorBidi"/>
          <w:sz w:val="24"/>
          <w:szCs w:val="24"/>
        </w:rPr>
        <w:t>(M=4.</w:t>
      </w:r>
      <w:r w:rsidR="003E268F">
        <w:rPr>
          <w:rFonts w:asciiTheme="majorBidi" w:hAnsiTheme="majorBidi" w:cstheme="majorBidi"/>
          <w:sz w:val="24"/>
          <w:szCs w:val="24"/>
        </w:rPr>
        <w:t>7</w:t>
      </w:r>
      <w:r>
        <w:rPr>
          <w:rFonts w:asciiTheme="majorBidi" w:hAnsiTheme="majorBidi" w:cstheme="majorBidi"/>
          <w:sz w:val="24"/>
          <w:szCs w:val="24"/>
        </w:rPr>
        <w:t>5</w:t>
      </w:r>
      <w:r w:rsidRPr="008E6BAD">
        <w:rPr>
          <w:rFonts w:asciiTheme="majorBidi" w:hAnsiTheme="majorBidi" w:cstheme="majorBidi"/>
          <w:sz w:val="24"/>
          <w:szCs w:val="24"/>
        </w:rPr>
        <w:t>),</w:t>
      </w:r>
      <w:r w:rsidR="003E268F">
        <w:rPr>
          <w:rFonts w:asciiTheme="majorBidi" w:hAnsiTheme="majorBidi" w:cstheme="majorBidi"/>
          <w:sz w:val="24"/>
          <w:szCs w:val="24"/>
        </w:rPr>
        <w:t xml:space="preserve"> addressing the significance of g</w:t>
      </w:r>
      <w:r w:rsidR="003E268F" w:rsidRPr="003E268F">
        <w:rPr>
          <w:rFonts w:asciiTheme="majorBidi" w:hAnsiTheme="majorBidi" w:cstheme="majorBidi"/>
          <w:sz w:val="24"/>
          <w:szCs w:val="24"/>
        </w:rPr>
        <w:t>iving small speeches/presentations at work</w:t>
      </w:r>
      <w:r w:rsidR="003E268F">
        <w:rPr>
          <w:rFonts w:asciiTheme="majorBidi" w:hAnsiTheme="majorBidi" w:cstheme="majorBidi"/>
          <w:sz w:val="24"/>
          <w:szCs w:val="24"/>
        </w:rPr>
        <w:t xml:space="preserve">, was considered very important by 20% of the participants whereas 50% of the respondents considered this item a somewhat important need.  </w:t>
      </w:r>
    </w:p>
    <w:p w:rsidR="009E3E85" w:rsidRDefault="009E3E85" w:rsidP="009E3E85">
      <w:pPr>
        <w:jc w:val="both"/>
        <w:rPr>
          <w:rFonts w:asciiTheme="majorBidi" w:hAnsiTheme="majorBidi" w:cstheme="majorBidi"/>
          <w:sz w:val="24"/>
          <w:szCs w:val="24"/>
        </w:rPr>
      </w:pPr>
      <w:r>
        <w:rPr>
          <w:rFonts w:asciiTheme="majorBidi" w:hAnsiTheme="majorBidi" w:cstheme="majorBidi"/>
          <w:sz w:val="24"/>
          <w:szCs w:val="24"/>
        </w:rPr>
        <w:t>Considering i</w:t>
      </w:r>
      <w:r w:rsidR="003E268F">
        <w:rPr>
          <w:rFonts w:asciiTheme="majorBidi" w:hAnsiTheme="majorBidi" w:cstheme="majorBidi"/>
          <w:sz w:val="24"/>
          <w:szCs w:val="24"/>
        </w:rPr>
        <w:t xml:space="preserve">tem fifteen </w:t>
      </w:r>
      <w:r w:rsidR="003E268F" w:rsidRPr="008E6BAD">
        <w:rPr>
          <w:rFonts w:asciiTheme="majorBidi" w:hAnsiTheme="majorBidi" w:cstheme="majorBidi"/>
          <w:sz w:val="24"/>
          <w:szCs w:val="24"/>
        </w:rPr>
        <w:t>(M=4.</w:t>
      </w:r>
      <w:r w:rsidR="003E268F">
        <w:rPr>
          <w:rFonts w:asciiTheme="majorBidi" w:hAnsiTheme="majorBidi" w:cstheme="majorBidi"/>
          <w:sz w:val="24"/>
          <w:szCs w:val="24"/>
        </w:rPr>
        <w:t>8</w:t>
      </w:r>
      <w:r w:rsidR="003E268F" w:rsidRPr="008E6BAD">
        <w:rPr>
          <w:rFonts w:asciiTheme="majorBidi" w:hAnsiTheme="majorBidi" w:cstheme="majorBidi"/>
          <w:sz w:val="24"/>
          <w:szCs w:val="24"/>
        </w:rPr>
        <w:t>),</w:t>
      </w:r>
      <w:r w:rsidR="003E268F">
        <w:rPr>
          <w:rFonts w:asciiTheme="majorBidi" w:hAnsiTheme="majorBidi" w:cstheme="majorBidi"/>
          <w:sz w:val="24"/>
          <w:szCs w:val="24"/>
        </w:rPr>
        <w:t xml:space="preserve"> which concerned </w:t>
      </w:r>
      <w:r w:rsidR="003E268F">
        <w:rPr>
          <w:rFonts w:asciiTheme="majorBidi" w:hAnsiTheme="majorBidi" w:cstheme="majorBidi"/>
          <w:sz w:val="24"/>
          <w:szCs w:val="24"/>
          <w:lang w:val="en-GB"/>
        </w:rPr>
        <w:t xml:space="preserve">giving small </w:t>
      </w:r>
      <w:r w:rsidR="003E268F" w:rsidRPr="003E268F">
        <w:rPr>
          <w:rFonts w:asciiTheme="majorBidi" w:hAnsiTheme="majorBidi" w:cstheme="majorBidi"/>
          <w:sz w:val="24"/>
          <w:szCs w:val="24"/>
          <w:lang w:val="en-GB"/>
        </w:rPr>
        <w:t>sp</w:t>
      </w:r>
      <w:r w:rsidR="003E268F">
        <w:rPr>
          <w:rFonts w:asciiTheme="majorBidi" w:hAnsiTheme="majorBidi" w:cstheme="majorBidi"/>
          <w:sz w:val="24"/>
          <w:szCs w:val="24"/>
          <w:lang w:val="en-GB"/>
        </w:rPr>
        <w:t xml:space="preserve">eeches/presentations in English in </w:t>
      </w:r>
      <w:r w:rsidR="003E268F" w:rsidRPr="003E268F">
        <w:rPr>
          <w:rFonts w:asciiTheme="majorBidi" w:hAnsiTheme="majorBidi" w:cstheme="majorBidi"/>
          <w:sz w:val="24"/>
          <w:szCs w:val="24"/>
          <w:lang w:val="en-GB"/>
        </w:rPr>
        <w:t>university classes</w:t>
      </w:r>
      <w:r>
        <w:rPr>
          <w:rFonts w:asciiTheme="majorBidi" w:hAnsiTheme="majorBidi" w:cstheme="majorBidi"/>
          <w:sz w:val="24"/>
          <w:szCs w:val="24"/>
          <w:lang w:val="en-GB"/>
        </w:rPr>
        <w:t>,</w:t>
      </w:r>
      <w:r w:rsidR="003E268F">
        <w:rPr>
          <w:rFonts w:asciiTheme="majorBidi" w:hAnsiTheme="majorBidi" w:cstheme="majorBidi"/>
          <w:sz w:val="24"/>
          <w:szCs w:val="24"/>
          <w:lang w:val="en-GB"/>
        </w:rPr>
        <w:t xml:space="preserve"> 35% of the participants expressed their agreement on the last choice (very important) and 30% of them considered this item as being somewhat important. Considering item sixteen </w:t>
      </w:r>
      <w:r w:rsidR="003E268F" w:rsidRPr="008E6BAD">
        <w:rPr>
          <w:rFonts w:asciiTheme="majorBidi" w:hAnsiTheme="majorBidi" w:cstheme="majorBidi"/>
          <w:sz w:val="24"/>
          <w:szCs w:val="24"/>
        </w:rPr>
        <w:t>(M=4.</w:t>
      </w:r>
      <w:r w:rsidR="003E268F">
        <w:rPr>
          <w:rFonts w:asciiTheme="majorBidi" w:hAnsiTheme="majorBidi" w:cstheme="majorBidi"/>
          <w:sz w:val="24"/>
          <w:szCs w:val="24"/>
        </w:rPr>
        <w:t>7</w:t>
      </w:r>
      <w:r w:rsidR="003E268F" w:rsidRPr="008E6BAD">
        <w:rPr>
          <w:rFonts w:asciiTheme="majorBidi" w:hAnsiTheme="majorBidi" w:cstheme="majorBidi"/>
          <w:sz w:val="24"/>
          <w:szCs w:val="24"/>
        </w:rPr>
        <w:t>),</w:t>
      </w:r>
      <w:r w:rsidR="003E268F">
        <w:rPr>
          <w:rFonts w:asciiTheme="majorBidi" w:hAnsiTheme="majorBidi" w:cstheme="majorBidi"/>
          <w:sz w:val="24"/>
          <w:szCs w:val="24"/>
        </w:rPr>
        <w:t xml:space="preserve"> </w:t>
      </w:r>
      <w:r w:rsidR="003E268F">
        <w:rPr>
          <w:rFonts w:asciiTheme="majorBidi" w:hAnsiTheme="majorBidi" w:cstheme="majorBidi"/>
          <w:sz w:val="24"/>
          <w:szCs w:val="24"/>
          <w:lang w:val="en-GB"/>
        </w:rPr>
        <w:t xml:space="preserve">which dealt with </w:t>
      </w:r>
      <w:r w:rsidR="003E268F">
        <w:rPr>
          <w:rFonts w:asciiTheme="majorBidi" w:hAnsiTheme="majorBidi" w:cstheme="majorBidi"/>
          <w:sz w:val="24"/>
          <w:szCs w:val="24"/>
        </w:rPr>
        <w:t>h</w:t>
      </w:r>
      <w:r w:rsidR="003E268F" w:rsidRPr="003E268F">
        <w:rPr>
          <w:rFonts w:asciiTheme="majorBidi" w:hAnsiTheme="majorBidi" w:cstheme="majorBidi"/>
          <w:sz w:val="24"/>
          <w:szCs w:val="24"/>
        </w:rPr>
        <w:t>aving discussions a</w:t>
      </w:r>
      <w:r w:rsidR="003E268F">
        <w:rPr>
          <w:rFonts w:asciiTheme="majorBidi" w:hAnsiTheme="majorBidi" w:cstheme="majorBidi"/>
          <w:sz w:val="24"/>
          <w:szCs w:val="24"/>
        </w:rPr>
        <w:t xml:space="preserve">bout general topics and current </w:t>
      </w:r>
      <w:r w:rsidR="003E268F" w:rsidRPr="003E268F">
        <w:rPr>
          <w:rFonts w:asciiTheme="majorBidi" w:hAnsiTheme="majorBidi" w:cstheme="majorBidi"/>
          <w:sz w:val="24"/>
          <w:szCs w:val="24"/>
        </w:rPr>
        <w:t>events in English with classmates</w:t>
      </w:r>
      <w:r w:rsidR="003E268F">
        <w:rPr>
          <w:rFonts w:asciiTheme="majorBidi" w:hAnsiTheme="majorBidi" w:cstheme="majorBidi"/>
          <w:sz w:val="24"/>
          <w:szCs w:val="24"/>
        </w:rPr>
        <w:t xml:space="preserve">, 35% of the students regarded this item as a significant need in their actual life, however, 40% of the respondents believed this item to be somewhat important according to their goals. </w:t>
      </w:r>
      <w:r w:rsidR="008C603E">
        <w:rPr>
          <w:rFonts w:asciiTheme="majorBidi" w:hAnsiTheme="majorBidi" w:cstheme="majorBidi"/>
          <w:sz w:val="24"/>
          <w:szCs w:val="24"/>
        </w:rPr>
        <w:t xml:space="preserve">Item seventeen </w:t>
      </w:r>
      <w:r w:rsidR="008C603E" w:rsidRPr="008E6BAD">
        <w:rPr>
          <w:rFonts w:asciiTheme="majorBidi" w:hAnsiTheme="majorBidi" w:cstheme="majorBidi"/>
          <w:sz w:val="24"/>
          <w:szCs w:val="24"/>
        </w:rPr>
        <w:t>(M=4.</w:t>
      </w:r>
      <w:r w:rsidR="008C603E">
        <w:rPr>
          <w:rFonts w:asciiTheme="majorBidi" w:hAnsiTheme="majorBidi" w:cstheme="majorBidi"/>
          <w:sz w:val="24"/>
          <w:szCs w:val="24"/>
        </w:rPr>
        <w:t>6</w:t>
      </w:r>
      <w:r w:rsidR="008C603E" w:rsidRPr="008E6BAD">
        <w:rPr>
          <w:rFonts w:asciiTheme="majorBidi" w:hAnsiTheme="majorBidi" w:cstheme="majorBidi"/>
          <w:sz w:val="24"/>
          <w:szCs w:val="24"/>
        </w:rPr>
        <w:t>),</w:t>
      </w:r>
      <w:r w:rsidR="008C603E">
        <w:rPr>
          <w:rFonts w:asciiTheme="majorBidi" w:hAnsiTheme="majorBidi" w:cstheme="majorBidi"/>
          <w:sz w:val="24"/>
          <w:szCs w:val="24"/>
        </w:rPr>
        <w:t xml:space="preserve"> regarding h</w:t>
      </w:r>
      <w:r w:rsidR="008C603E" w:rsidRPr="008C603E">
        <w:rPr>
          <w:rFonts w:asciiTheme="majorBidi" w:hAnsiTheme="majorBidi" w:cstheme="majorBidi"/>
          <w:sz w:val="24"/>
          <w:szCs w:val="24"/>
        </w:rPr>
        <w:t>aving discussions a</w:t>
      </w:r>
      <w:r w:rsidR="008C603E">
        <w:rPr>
          <w:rFonts w:asciiTheme="majorBidi" w:hAnsiTheme="majorBidi" w:cstheme="majorBidi"/>
          <w:sz w:val="24"/>
          <w:szCs w:val="24"/>
        </w:rPr>
        <w:t xml:space="preserve">bout general topics and current </w:t>
      </w:r>
      <w:r w:rsidR="008C603E" w:rsidRPr="008C603E">
        <w:rPr>
          <w:rFonts w:asciiTheme="majorBidi" w:hAnsiTheme="majorBidi" w:cstheme="majorBidi"/>
          <w:sz w:val="24"/>
          <w:szCs w:val="24"/>
        </w:rPr>
        <w:t>events in English with foreign people</w:t>
      </w:r>
      <w:r w:rsidR="008C603E">
        <w:rPr>
          <w:rFonts w:asciiTheme="majorBidi" w:hAnsiTheme="majorBidi" w:cstheme="majorBidi"/>
          <w:sz w:val="24"/>
          <w:szCs w:val="24"/>
        </w:rPr>
        <w:t xml:space="preserve">, elicited 35% of the participants’ agreement on the </w:t>
      </w:r>
      <w:r>
        <w:rPr>
          <w:rFonts w:asciiTheme="majorBidi" w:hAnsiTheme="majorBidi" w:cstheme="majorBidi"/>
          <w:sz w:val="24"/>
          <w:szCs w:val="24"/>
        </w:rPr>
        <w:t xml:space="preserve">significance of this item as a real </w:t>
      </w:r>
      <w:r w:rsidR="008C603E">
        <w:rPr>
          <w:rFonts w:asciiTheme="majorBidi" w:hAnsiTheme="majorBidi" w:cstheme="majorBidi"/>
          <w:sz w:val="24"/>
          <w:szCs w:val="24"/>
        </w:rPr>
        <w:t xml:space="preserve">need. Concerning item eighteen </w:t>
      </w:r>
      <w:r w:rsidR="008C603E" w:rsidRPr="008E6BAD">
        <w:rPr>
          <w:rFonts w:asciiTheme="majorBidi" w:hAnsiTheme="majorBidi" w:cstheme="majorBidi"/>
          <w:sz w:val="24"/>
          <w:szCs w:val="24"/>
        </w:rPr>
        <w:t>(M=</w:t>
      </w:r>
      <w:r w:rsidR="008C603E">
        <w:rPr>
          <w:rFonts w:asciiTheme="majorBidi" w:hAnsiTheme="majorBidi" w:cstheme="majorBidi"/>
          <w:sz w:val="24"/>
          <w:szCs w:val="24"/>
        </w:rPr>
        <w:t>5.1</w:t>
      </w:r>
      <w:r w:rsidR="008C603E" w:rsidRPr="008E6BAD">
        <w:rPr>
          <w:rFonts w:asciiTheme="majorBidi" w:hAnsiTheme="majorBidi" w:cstheme="majorBidi"/>
          <w:sz w:val="24"/>
          <w:szCs w:val="24"/>
        </w:rPr>
        <w:t>),</w:t>
      </w:r>
      <w:r w:rsidR="008C603E">
        <w:rPr>
          <w:rFonts w:asciiTheme="majorBidi" w:hAnsiTheme="majorBidi" w:cstheme="majorBidi"/>
          <w:sz w:val="24"/>
          <w:szCs w:val="24"/>
        </w:rPr>
        <w:t xml:space="preserve"> which dealt with s</w:t>
      </w:r>
      <w:r w:rsidR="008C603E" w:rsidRPr="008C603E">
        <w:rPr>
          <w:rFonts w:asciiTheme="majorBidi" w:hAnsiTheme="majorBidi" w:cstheme="majorBidi"/>
          <w:sz w:val="24"/>
          <w:szCs w:val="24"/>
        </w:rPr>
        <w:t xml:space="preserve">peaking to hotel and </w:t>
      </w:r>
      <w:r w:rsidR="008C603E">
        <w:rPr>
          <w:rFonts w:asciiTheme="majorBidi" w:hAnsiTheme="majorBidi" w:cstheme="majorBidi"/>
          <w:sz w:val="24"/>
          <w:szCs w:val="24"/>
        </w:rPr>
        <w:t xml:space="preserve">restaurant staff in English </w:t>
      </w:r>
      <w:r w:rsidR="008C603E" w:rsidRPr="008C603E">
        <w:rPr>
          <w:rFonts w:asciiTheme="majorBidi" w:hAnsiTheme="majorBidi" w:cstheme="majorBidi"/>
          <w:sz w:val="24"/>
          <w:szCs w:val="24"/>
        </w:rPr>
        <w:t>while traveling overseas</w:t>
      </w:r>
      <w:r w:rsidR="008C603E">
        <w:rPr>
          <w:rFonts w:asciiTheme="majorBidi" w:hAnsiTheme="majorBidi" w:cstheme="majorBidi"/>
          <w:sz w:val="24"/>
          <w:szCs w:val="24"/>
        </w:rPr>
        <w:t xml:space="preserve">, the results demonstrated </w:t>
      </w:r>
      <w:r w:rsidR="008C603E">
        <w:rPr>
          <w:rFonts w:asciiTheme="majorBidi" w:hAnsiTheme="majorBidi" w:cstheme="majorBidi"/>
          <w:sz w:val="24"/>
          <w:szCs w:val="24"/>
        </w:rPr>
        <w:lastRenderedPageBreak/>
        <w:t>the agreement of the 40% of the participants on this item as a very important</w:t>
      </w:r>
      <w:r>
        <w:rPr>
          <w:rFonts w:asciiTheme="majorBidi" w:hAnsiTheme="majorBidi" w:cstheme="majorBidi"/>
          <w:sz w:val="24"/>
          <w:szCs w:val="24"/>
        </w:rPr>
        <w:t>; l</w:t>
      </w:r>
      <w:r w:rsidR="008C603E">
        <w:rPr>
          <w:rFonts w:asciiTheme="majorBidi" w:hAnsiTheme="majorBidi" w:cstheme="majorBidi"/>
          <w:sz w:val="24"/>
          <w:szCs w:val="24"/>
        </w:rPr>
        <w:t xml:space="preserve">ikewise, 40% of the participants expressed that this item is a somewhat significant need for them. Item nineteen </w:t>
      </w:r>
      <w:r w:rsidR="008C603E" w:rsidRPr="008E6BAD">
        <w:rPr>
          <w:rFonts w:asciiTheme="majorBidi" w:hAnsiTheme="majorBidi" w:cstheme="majorBidi"/>
          <w:sz w:val="24"/>
          <w:szCs w:val="24"/>
        </w:rPr>
        <w:t>(M=</w:t>
      </w:r>
      <w:r w:rsidR="008C603E">
        <w:rPr>
          <w:rFonts w:asciiTheme="majorBidi" w:hAnsiTheme="majorBidi" w:cstheme="majorBidi"/>
          <w:sz w:val="24"/>
          <w:szCs w:val="24"/>
        </w:rPr>
        <w:t>5.05</w:t>
      </w:r>
      <w:r w:rsidR="008C603E" w:rsidRPr="008E6BAD">
        <w:rPr>
          <w:rFonts w:asciiTheme="majorBidi" w:hAnsiTheme="majorBidi" w:cstheme="majorBidi"/>
          <w:sz w:val="24"/>
          <w:szCs w:val="24"/>
        </w:rPr>
        <w:t>)</w:t>
      </w:r>
      <w:r w:rsidR="008C603E" w:rsidRPr="008C603E">
        <w:t xml:space="preserve"> </w:t>
      </w:r>
      <w:r w:rsidR="008C603E">
        <w:rPr>
          <w:rFonts w:asciiTheme="majorBidi" w:hAnsiTheme="majorBidi" w:cstheme="majorBidi"/>
          <w:sz w:val="24"/>
          <w:szCs w:val="24"/>
        </w:rPr>
        <w:t>that focused on w</w:t>
      </w:r>
      <w:r w:rsidR="008C603E" w:rsidRPr="008C603E">
        <w:rPr>
          <w:rFonts w:asciiTheme="majorBidi" w:hAnsiTheme="majorBidi" w:cstheme="majorBidi"/>
          <w:sz w:val="24"/>
          <w:szCs w:val="24"/>
        </w:rPr>
        <w:t>riting in English for university course papers</w:t>
      </w:r>
      <w:r w:rsidR="008C603E" w:rsidRPr="008E6BAD">
        <w:rPr>
          <w:rFonts w:asciiTheme="majorBidi" w:hAnsiTheme="majorBidi" w:cstheme="majorBidi"/>
          <w:sz w:val="24"/>
          <w:szCs w:val="24"/>
        </w:rPr>
        <w:t>,</w:t>
      </w:r>
      <w:r w:rsidR="008C603E">
        <w:rPr>
          <w:rFonts w:asciiTheme="majorBidi" w:hAnsiTheme="majorBidi" w:cstheme="majorBidi"/>
          <w:sz w:val="24"/>
          <w:szCs w:val="24"/>
        </w:rPr>
        <w:t xml:space="preserve"> got 55% of the votes as a vital need regarding writing skill. </w:t>
      </w:r>
      <w:r>
        <w:rPr>
          <w:rFonts w:asciiTheme="majorBidi" w:hAnsiTheme="majorBidi" w:cstheme="majorBidi"/>
          <w:sz w:val="24"/>
          <w:szCs w:val="24"/>
        </w:rPr>
        <w:t xml:space="preserve">Almost </w:t>
      </w:r>
      <w:r w:rsidR="008C603E">
        <w:rPr>
          <w:rFonts w:asciiTheme="majorBidi" w:hAnsiTheme="majorBidi" w:cstheme="majorBidi"/>
          <w:sz w:val="24"/>
          <w:szCs w:val="24"/>
        </w:rPr>
        <w:t xml:space="preserve">35% of the respondents declared that item twenty </w:t>
      </w:r>
      <w:r w:rsidR="008C603E" w:rsidRPr="008E6BAD">
        <w:rPr>
          <w:rFonts w:asciiTheme="majorBidi" w:hAnsiTheme="majorBidi" w:cstheme="majorBidi"/>
          <w:sz w:val="24"/>
          <w:szCs w:val="24"/>
        </w:rPr>
        <w:t>(M=</w:t>
      </w:r>
      <w:r w:rsidR="008C603E">
        <w:rPr>
          <w:rFonts w:asciiTheme="majorBidi" w:hAnsiTheme="majorBidi" w:cstheme="majorBidi"/>
          <w:sz w:val="24"/>
          <w:szCs w:val="24"/>
        </w:rPr>
        <w:t>4.55</w:t>
      </w:r>
      <w:r w:rsidR="008C603E" w:rsidRPr="008E6BAD">
        <w:rPr>
          <w:rFonts w:asciiTheme="majorBidi" w:hAnsiTheme="majorBidi" w:cstheme="majorBidi"/>
          <w:sz w:val="24"/>
          <w:szCs w:val="24"/>
        </w:rPr>
        <w:t>)</w:t>
      </w:r>
      <w:r>
        <w:rPr>
          <w:rFonts w:asciiTheme="majorBidi" w:hAnsiTheme="majorBidi" w:cstheme="majorBidi"/>
          <w:sz w:val="24"/>
          <w:szCs w:val="24"/>
        </w:rPr>
        <w:t>,</w:t>
      </w:r>
      <w:r w:rsidR="008C603E">
        <w:rPr>
          <w:rFonts w:asciiTheme="majorBidi" w:hAnsiTheme="majorBidi" w:cstheme="majorBidi"/>
          <w:sz w:val="24"/>
          <w:szCs w:val="24"/>
        </w:rPr>
        <w:t xml:space="preserve"> addressing w</w:t>
      </w:r>
      <w:r w:rsidR="008C603E" w:rsidRPr="008C603E">
        <w:rPr>
          <w:rFonts w:asciiTheme="majorBidi" w:hAnsiTheme="majorBidi" w:cstheme="majorBidi"/>
          <w:sz w:val="24"/>
          <w:szCs w:val="24"/>
        </w:rPr>
        <w:t>ritin</w:t>
      </w:r>
      <w:r w:rsidR="008C603E">
        <w:rPr>
          <w:rFonts w:asciiTheme="majorBidi" w:hAnsiTheme="majorBidi" w:cstheme="majorBidi"/>
          <w:sz w:val="24"/>
          <w:szCs w:val="24"/>
        </w:rPr>
        <w:t>g business documents in English</w:t>
      </w:r>
      <w:r w:rsidR="008C603E" w:rsidRPr="008E6BAD">
        <w:rPr>
          <w:rFonts w:asciiTheme="majorBidi" w:hAnsiTheme="majorBidi" w:cstheme="majorBidi"/>
          <w:sz w:val="24"/>
          <w:szCs w:val="24"/>
        </w:rPr>
        <w:t>,</w:t>
      </w:r>
      <w:r w:rsidR="009B7CE8">
        <w:rPr>
          <w:rFonts w:asciiTheme="majorBidi" w:hAnsiTheme="majorBidi" w:cstheme="majorBidi"/>
          <w:sz w:val="24"/>
          <w:szCs w:val="24"/>
        </w:rPr>
        <w:t xml:space="preserve"> </w:t>
      </w:r>
      <w:r>
        <w:rPr>
          <w:rFonts w:asciiTheme="majorBidi" w:hAnsiTheme="majorBidi" w:cstheme="majorBidi"/>
          <w:sz w:val="24"/>
          <w:szCs w:val="24"/>
        </w:rPr>
        <w:t>was</w:t>
      </w:r>
      <w:r w:rsidR="009B7CE8">
        <w:rPr>
          <w:rFonts w:asciiTheme="majorBidi" w:hAnsiTheme="majorBidi" w:cstheme="majorBidi"/>
          <w:sz w:val="24"/>
          <w:szCs w:val="24"/>
        </w:rPr>
        <w:t xml:space="preserve"> a very important need. Item twenty-one </w:t>
      </w:r>
      <w:r w:rsidR="009B7CE8" w:rsidRPr="008E6BAD">
        <w:rPr>
          <w:rFonts w:asciiTheme="majorBidi" w:hAnsiTheme="majorBidi" w:cstheme="majorBidi"/>
          <w:sz w:val="24"/>
          <w:szCs w:val="24"/>
        </w:rPr>
        <w:t>(M=4.</w:t>
      </w:r>
      <w:r w:rsidR="009B7CE8">
        <w:rPr>
          <w:rFonts w:asciiTheme="majorBidi" w:hAnsiTheme="majorBidi" w:cstheme="majorBidi"/>
          <w:sz w:val="24"/>
          <w:szCs w:val="24"/>
        </w:rPr>
        <w:t>7</w:t>
      </w:r>
      <w:r w:rsidR="009B7CE8" w:rsidRPr="008E6BAD">
        <w:rPr>
          <w:rFonts w:asciiTheme="majorBidi" w:hAnsiTheme="majorBidi" w:cstheme="majorBidi"/>
          <w:sz w:val="24"/>
          <w:szCs w:val="24"/>
        </w:rPr>
        <w:t>),</w:t>
      </w:r>
      <w:r w:rsidR="009B7CE8">
        <w:rPr>
          <w:rFonts w:asciiTheme="majorBidi" w:hAnsiTheme="majorBidi" w:cstheme="majorBidi"/>
          <w:sz w:val="24"/>
          <w:szCs w:val="24"/>
        </w:rPr>
        <w:t xml:space="preserve"> which considered s</w:t>
      </w:r>
      <w:r w:rsidR="009B7CE8" w:rsidRPr="009B7CE8">
        <w:rPr>
          <w:rFonts w:asciiTheme="majorBidi" w:hAnsiTheme="majorBidi" w:cstheme="majorBidi"/>
          <w:sz w:val="24"/>
          <w:szCs w:val="24"/>
        </w:rPr>
        <w:t>ynthesizing information from more than one source</w:t>
      </w:r>
      <w:r w:rsidR="009B7CE8">
        <w:rPr>
          <w:rFonts w:asciiTheme="majorBidi" w:hAnsiTheme="majorBidi" w:cstheme="majorBidi"/>
          <w:sz w:val="24"/>
          <w:szCs w:val="24"/>
        </w:rPr>
        <w:t xml:space="preserve"> was deemed significant by 40% of the participants. </w:t>
      </w:r>
    </w:p>
    <w:p w:rsidR="00D1786F" w:rsidRDefault="009E3E85" w:rsidP="009E3E85">
      <w:pPr>
        <w:jc w:val="both"/>
        <w:rPr>
          <w:rFonts w:asciiTheme="majorBidi" w:hAnsiTheme="majorBidi" w:cstheme="majorBidi"/>
          <w:sz w:val="24"/>
          <w:szCs w:val="24"/>
        </w:rPr>
      </w:pPr>
      <w:r>
        <w:rPr>
          <w:rFonts w:asciiTheme="majorBidi" w:hAnsiTheme="majorBidi" w:cstheme="majorBidi"/>
          <w:sz w:val="24"/>
          <w:szCs w:val="24"/>
        </w:rPr>
        <w:t>Furthermore, s</w:t>
      </w:r>
      <w:r w:rsidR="00EA1EF4">
        <w:rPr>
          <w:rFonts w:asciiTheme="majorBidi" w:hAnsiTheme="majorBidi" w:cstheme="majorBidi"/>
          <w:sz w:val="24"/>
          <w:szCs w:val="24"/>
        </w:rPr>
        <w:t>cales “slightly important, somewhat important and very important” on i</w:t>
      </w:r>
      <w:r w:rsidR="009B7CE8">
        <w:rPr>
          <w:rFonts w:asciiTheme="majorBidi" w:hAnsiTheme="majorBidi" w:cstheme="majorBidi"/>
          <w:sz w:val="24"/>
          <w:szCs w:val="24"/>
        </w:rPr>
        <w:t xml:space="preserve">tem twenty-two </w:t>
      </w:r>
      <w:r w:rsidR="009B7CE8" w:rsidRPr="008E6BAD">
        <w:rPr>
          <w:rFonts w:asciiTheme="majorBidi" w:hAnsiTheme="majorBidi" w:cstheme="majorBidi"/>
          <w:sz w:val="24"/>
          <w:szCs w:val="24"/>
        </w:rPr>
        <w:t>(M=4.</w:t>
      </w:r>
      <w:r w:rsidR="009B7CE8">
        <w:rPr>
          <w:rFonts w:asciiTheme="majorBidi" w:hAnsiTheme="majorBidi" w:cstheme="majorBidi"/>
          <w:sz w:val="24"/>
          <w:szCs w:val="24"/>
        </w:rPr>
        <w:t>35</w:t>
      </w:r>
      <w:r w:rsidR="009B7CE8" w:rsidRPr="008E6BAD">
        <w:rPr>
          <w:rFonts w:asciiTheme="majorBidi" w:hAnsiTheme="majorBidi" w:cstheme="majorBidi"/>
          <w:sz w:val="24"/>
          <w:szCs w:val="24"/>
        </w:rPr>
        <w:t>)</w:t>
      </w:r>
      <w:r>
        <w:rPr>
          <w:rFonts w:asciiTheme="majorBidi" w:hAnsiTheme="majorBidi" w:cstheme="majorBidi"/>
          <w:sz w:val="24"/>
          <w:szCs w:val="24"/>
        </w:rPr>
        <w:t>,</w:t>
      </w:r>
      <w:r w:rsidR="00EA1EF4">
        <w:rPr>
          <w:rFonts w:asciiTheme="majorBidi" w:hAnsiTheme="majorBidi" w:cstheme="majorBidi"/>
          <w:sz w:val="24"/>
          <w:szCs w:val="24"/>
        </w:rPr>
        <w:t xml:space="preserve"> which focused</w:t>
      </w:r>
      <w:r w:rsidR="009B7CE8">
        <w:rPr>
          <w:rFonts w:asciiTheme="majorBidi" w:hAnsiTheme="majorBidi" w:cstheme="majorBidi"/>
          <w:sz w:val="24"/>
          <w:szCs w:val="24"/>
        </w:rPr>
        <w:t xml:space="preserve"> on </w:t>
      </w:r>
      <w:r w:rsidR="009B7CE8">
        <w:rPr>
          <w:rFonts w:asciiTheme="majorBidi" w:hAnsiTheme="majorBidi" w:cstheme="majorBidi"/>
          <w:sz w:val="24"/>
          <w:szCs w:val="24"/>
          <w:lang w:val="en-GB"/>
        </w:rPr>
        <w:t>w</w:t>
      </w:r>
      <w:r w:rsidR="009B7CE8" w:rsidRPr="009B7CE8">
        <w:rPr>
          <w:rFonts w:asciiTheme="majorBidi" w:hAnsiTheme="majorBidi" w:cstheme="majorBidi"/>
          <w:sz w:val="24"/>
          <w:szCs w:val="24"/>
          <w:lang w:val="en-GB"/>
        </w:rPr>
        <w:t>riting e-mail letters in English to foreign friends</w:t>
      </w:r>
      <w:r w:rsidR="009B7CE8" w:rsidRPr="008E6BAD">
        <w:rPr>
          <w:rFonts w:asciiTheme="majorBidi" w:hAnsiTheme="majorBidi" w:cstheme="majorBidi"/>
          <w:sz w:val="24"/>
          <w:szCs w:val="24"/>
        </w:rPr>
        <w:t>,</w:t>
      </w:r>
      <w:r w:rsidR="009B7CE8">
        <w:rPr>
          <w:rFonts w:asciiTheme="majorBidi" w:hAnsiTheme="majorBidi" w:cstheme="majorBidi"/>
          <w:sz w:val="24"/>
          <w:szCs w:val="24"/>
        </w:rPr>
        <w:t xml:space="preserve"> </w:t>
      </w:r>
      <w:r w:rsidR="00EA1EF4">
        <w:rPr>
          <w:rFonts w:asciiTheme="majorBidi" w:hAnsiTheme="majorBidi" w:cstheme="majorBidi"/>
          <w:sz w:val="24"/>
          <w:szCs w:val="24"/>
        </w:rPr>
        <w:t>each attained</w:t>
      </w:r>
      <w:r w:rsidR="009B7CE8">
        <w:rPr>
          <w:rFonts w:asciiTheme="majorBidi" w:hAnsiTheme="majorBidi" w:cstheme="majorBidi"/>
          <w:sz w:val="24"/>
          <w:szCs w:val="24"/>
        </w:rPr>
        <w:t xml:space="preserve"> 25% of the</w:t>
      </w:r>
      <w:r w:rsidR="00EA1EF4">
        <w:rPr>
          <w:rFonts w:asciiTheme="majorBidi" w:hAnsiTheme="majorBidi" w:cstheme="majorBidi"/>
          <w:sz w:val="24"/>
          <w:szCs w:val="24"/>
        </w:rPr>
        <w:t xml:space="preserve"> votes of the participants. Item twenty-three </w:t>
      </w:r>
      <w:r w:rsidR="00EA1EF4" w:rsidRPr="00EA1EF4">
        <w:rPr>
          <w:rFonts w:asciiTheme="majorBidi" w:hAnsiTheme="majorBidi" w:cstheme="majorBidi"/>
          <w:sz w:val="24"/>
          <w:szCs w:val="24"/>
        </w:rPr>
        <w:t>(M=4.</w:t>
      </w:r>
      <w:r w:rsidR="00EA1EF4">
        <w:rPr>
          <w:rFonts w:asciiTheme="majorBidi" w:hAnsiTheme="majorBidi" w:cstheme="majorBidi"/>
          <w:sz w:val="24"/>
          <w:szCs w:val="24"/>
        </w:rPr>
        <w:t>2</w:t>
      </w:r>
      <w:r w:rsidR="00EA1EF4" w:rsidRPr="00EA1EF4">
        <w:rPr>
          <w:rFonts w:asciiTheme="majorBidi" w:hAnsiTheme="majorBidi" w:cstheme="majorBidi"/>
          <w:sz w:val="24"/>
          <w:szCs w:val="24"/>
        </w:rPr>
        <w:t>5)</w:t>
      </w:r>
      <w:r>
        <w:rPr>
          <w:rFonts w:asciiTheme="majorBidi" w:hAnsiTheme="majorBidi" w:cstheme="majorBidi"/>
          <w:sz w:val="24"/>
          <w:szCs w:val="24"/>
        </w:rPr>
        <w:t>,</w:t>
      </w:r>
      <w:r w:rsidR="00EA1EF4">
        <w:rPr>
          <w:rFonts w:asciiTheme="majorBidi" w:hAnsiTheme="majorBidi" w:cstheme="majorBidi"/>
          <w:sz w:val="24"/>
          <w:szCs w:val="24"/>
        </w:rPr>
        <w:t xml:space="preserve"> dealing with w</w:t>
      </w:r>
      <w:r w:rsidR="00EA1EF4" w:rsidRPr="00EA1EF4">
        <w:rPr>
          <w:rFonts w:asciiTheme="majorBidi" w:hAnsiTheme="majorBidi" w:cstheme="majorBidi"/>
          <w:sz w:val="24"/>
          <w:szCs w:val="24"/>
        </w:rPr>
        <w:t>riting e-mail business letters in English to foreigners</w:t>
      </w:r>
      <w:r>
        <w:rPr>
          <w:rFonts w:asciiTheme="majorBidi" w:hAnsiTheme="majorBidi" w:cstheme="majorBidi"/>
          <w:sz w:val="24"/>
          <w:szCs w:val="24"/>
        </w:rPr>
        <w:t>,</w:t>
      </w:r>
      <w:r w:rsidR="00EA1EF4">
        <w:rPr>
          <w:rFonts w:asciiTheme="majorBidi" w:hAnsiTheme="majorBidi" w:cstheme="majorBidi"/>
          <w:sz w:val="24"/>
          <w:szCs w:val="24"/>
        </w:rPr>
        <w:t xml:space="preserve"> was a very important need to only 20% of the participants. Considering item twenty-four </w:t>
      </w:r>
      <w:r w:rsidR="00EA1EF4" w:rsidRPr="003B43A6">
        <w:rPr>
          <w:rFonts w:asciiTheme="majorBidi" w:hAnsiTheme="majorBidi" w:cstheme="majorBidi"/>
          <w:sz w:val="24"/>
          <w:szCs w:val="24"/>
        </w:rPr>
        <w:t>(M=</w:t>
      </w:r>
      <w:r w:rsidR="00EA1EF4">
        <w:rPr>
          <w:rFonts w:asciiTheme="majorBidi" w:hAnsiTheme="majorBidi" w:cstheme="majorBidi"/>
          <w:sz w:val="24"/>
          <w:szCs w:val="24"/>
        </w:rPr>
        <w:t>5.3</w:t>
      </w:r>
      <w:r w:rsidR="00EA1EF4" w:rsidRPr="003B43A6">
        <w:rPr>
          <w:rFonts w:asciiTheme="majorBidi" w:hAnsiTheme="majorBidi" w:cstheme="majorBidi"/>
          <w:sz w:val="24"/>
          <w:szCs w:val="24"/>
        </w:rPr>
        <w:t>),</w:t>
      </w:r>
      <w:r w:rsidR="00EA1EF4">
        <w:rPr>
          <w:rFonts w:asciiTheme="majorBidi" w:hAnsiTheme="majorBidi" w:cstheme="majorBidi"/>
          <w:sz w:val="24"/>
          <w:szCs w:val="24"/>
        </w:rPr>
        <w:t xml:space="preserve"> </w:t>
      </w:r>
      <w:r w:rsidR="00EA1EF4">
        <w:rPr>
          <w:rFonts w:asciiTheme="majorBidi" w:hAnsiTheme="majorBidi" w:cstheme="majorBidi"/>
          <w:sz w:val="24"/>
          <w:szCs w:val="24"/>
          <w:lang w:val="en-GB"/>
        </w:rPr>
        <w:t>g</w:t>
      </w:r>
      <w:r w:rsidR="00EA1EF4" w:rsidRPr="00EA1EF4">
        <w:rPr>
          <w:rFonts w:asciiTheme="majorBidi" w:hAnsiTheme="majorBidi" w:cstheme="majorBidi"/>
          <w:sz w:val="24"/>
          <w:szCs w:val="24"/>
          <w:lang w:val="en-GB"/>
        </w:rPr>
        <w:t>etting the ability to research information in English</w:t>
      </w:r>
      <w:r w:rsidR="009D2A74">
        <w:rPr>
          <w:rFonts w:asciiTheme="majorBidi" w:hAnsiTheme="majorBidi" w:cstheme="majorBidi"/>
          <w:sz w:val="24"/>
          <w:szCs w:val="24"/>
          <w:lang w:val="en-GB"/>
        </w:rPr>
        <w:t xml:space="preserve">, 50% of the participants asserted that </w:t>
      </w:r>
      <w:r w:rsidR="00383E3E">
        <w:rPr>
          <w:rFonts w:asciiTheme="majorBidi" w:hAnsiTheme="majorBidi" w:cstheme="majorBidi"/>
          <w:sz w:val="24"/>
          <w:szCs w:val="24"/>
          <w:lang w:val="en-GB"/>
        </w:rPr>
        <w:t xml:space="preserve">gaining this ability is an important need in their life. Finally, the last item </w:t>
      </w:r>
      <w:r w:rsidR="00383E3E" w:rsidRPr="00383E3E">
        <w:rPr>
          <w:rFonts w:asciiTheme="majorBidi" w:hAnsiTheme="majorBidi" w:cstheme="majorBidi"/>
          <w:sz w:val="24"/>
          <w:szCs w:val="24"/>
        </w:rPr>
        <w:t>(M=</w:t>
      </w:r>
      <w:r w:rsidR="00383E3E">
        <w:rPr>
          <w:rFonts w:asciiTheme="majorBidi" w:hAnsiTheme="majorBidi" w:cstheme="majorBidi"/>
          <w:sz w:val="24"/>
          <w:szCs w:val="24"/>
        </w:rPr>
        <w:t>5</w:t>
      </w:r>
      <w:r w:rsidR="00383E3E" w:rsidRPr="00383E3E">
        <w:rPr>
          <w:rFonts w:asciiTheme="majorBidi" w:hAnsiTheme="majorBidi" w:cstheme="majorBidi"/>
          <w:sz w:val="24"/>
          <w:szCs w:val="24"/>
        </w:rPr>
        <w:t xml:space="preserve">), </w:t>
      </w:r>
      <w:r w:rsidR="00383E3E">
        <w:rPr>
          <w:rFonts w:asciiTheme="majorBidi" w:hAnsiTheme="majorBidi" w:cstheme="majorBidi"/>
          <w:sz w:val="24"/>
          <w:szCs w:val="24"/>
          <w:lang w:val="en-GB"/>
        </w:rPr>
        <w:t xml:space="preserve">concerning </w:t>
      </w:r>
      <w:r w:rsidR="00383E3E">
        <w:rPr>
          <w:rFonts w:asciiTheme="majorBidi" w:hAnsiTheme="majorBidi" w:cstheme="majorBidi"/>
          <w:sz w:val="24"/>
          <w:szCs w:val="24"/>
        </w:rPr>
        <w:t>d</w:t>
      </w:r>
      <w:r w:rsidR="00383E3E" w:rsidRPr="00383E3E">
        <w:rPr>
          <w:rFonts w:asciiTheme="majorBidi" w:hAnsiTheme="majorBidi" w:cstheme="majorBidi"/>
          <w:sz w:val="24"/>
          <w:szCs w:val="24"/>
        </w:rPr>
        <w:t>oing group research with classmates or co-workers in English</w:t>
      </w:r>
      <w:r w:rsidR="00383E3E">
        <w:rPr>
          <w:rFonts w:asciiTheme="majorBidi" w:hAnsiTheme="majorBidi" w:cstheme="majorBidi"/>
          <w:sz w:val="24"/>
          <w:szCs w:val="24"/>
        </w:rPr>
        <w:t>, was considered as very important by 35% of the participants and somewhat important by the other 35% of the respondents.</w:t>
      </w:r>
    </w:p>
    <w:p w:rsidR="009E3E85" w:rsidRPr="009E3E85" w:rsidRDefault="009E3E85" w:rsidP="009E3E85">
      <w:pPr>
        <w:jc w:val="both"/>
        <w:rPr>
          <w:rFonts w:asciiTheme="majorBidi" w:hAnsiTheme="majorBidi" w:cstheme="majorBidi"/>
          <w:i/>
          <w:iCs/>
          <w:sz w:val="24"/>
          <w:szCs w:val="24"/>
        </w:rPr>
      </w:pPr>
      <w:r>
        <w:rPr>
          <w:rFonts w:asciiTheme="majorBidi" w:hAnsiTheme="majorBidi" w:cstheme="majorBidi"/>
          <w:sz w:val="24"/>
          <w:szCs w:val="24"/>
        </w:rPr>
        <w:t xml:space="preserve">Table 1. </w:t>
      </w:r>
      <w:r w:rsidRPr="009E3E85">
        <w:rPr>
          <w:rFonts w:asciiTheme="majorBidi" w:hAnsiTheme="majorBidi" w:cstheme="majorBidi"/>
          <w:i/>
          <w:iCs/>
          <w:sz w:val="24"/>
          <w:szCs w:val="24"/>
        </w:rPr>
        <w:t xml:space="preserve">Descriptive statistics for the respondents’ answers to the questionnaire items </w:t>
      </w:r>
    </w:p>
    <w:tbl>
      <w:tblPr>
        <w:tblStyle w:val="TableGrid"/>
        <w:tblW w:w="9296" w:type="dxa"/>
        <w:jc w:val="center"/>
        <w:tblLook w:val="04A0" w:firstRow="1" w:lastRow="0" w:firstColumn="1" w:lastColumn="0" w:noHBand="0" w:noVBand="1"/>
      </w:tblPr>
      <w:tblGrid>
        <w:gridCol w:w="481"/>
        <w:gridCol w:w="1132"/>
        <w:gridCol w:w="1145"/>
        <w:gridCol w:w="1135"/>
        <w:gridCol w:w="1136"/>
        <w:gridCol w:w="1145"/>
        <w:gridCol w:w="1135"/>
        <w:gridCol w:w="948"/>
        <w:gridCol w:w="1039"/>
      </w:tblGrid>
      <w:tr w:rsidR="007A280E" w:rsidRPr="007A280E" w:rsidTr="009E3E85">
        <w:trPr>
          <w:trHeight w:val="964"/>
          <w:jc w:val="center"/>
        </w:trPr>
        <w:tc>
          <w:tcPr>
            <w:tcW w:w="414" w:type="dxa"/>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No.</w:t>
            </w:r>
          </w:p>
        </w:tc>
        <w:tc>
          <w:tcPr>
            <w:tcW w:w="1139" w:type="dxa"/>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 Not at all important</w:t>
            </w:r>
          </w:p>
        </w:tc>
        <w:tc>
          <w:tcPr>
            <w:tcW w:w="1151" w:type="dxa"/>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 Somewhat not important</w:t>
            </w:r>
          </w:p>
        </w:tc>
        <w:tc>
          <w:tcPr>
            <w:tcW w:w="1141" w:type="dxa"/>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(3) Slightly not important</w:t>
            </w:r>
          </w:p>
        </w:tc>
        <w:tc>
          <w:tcPr>
            <w:tcW w:w="1142" w:type="dxa"/>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(4) Slightly important</w:t>
            </w:r>
          </w:p>
        </w:tc>
        <w:tc>
          <w:tcPr>
            <w:tcW w:w="1151" w:type="dxa"/>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(5) Somewhat important</w:t>
            </w:r>
          </w:p>
        </w:tc>
        <w:tc>
          <w:tcPr>
            <w:tcW w:w="1141" w:type="dxa"/>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(6) Very important</w:t>
            </w:r>
          </w:p>
        </w:tc>
        <w:tc>
          <w:tcPr>
            <w:tcW w:w="961" w:type="dxa"/>
            <w:tcBorders>
              <w:left w:val="nil"/>
              <w:bottom w:val="single" w:sz="12" w:space="0" w:color="auto"/>
              <w:right w:val="nil"/>
            </w:tcBorders>
          </w:tcPr>
          <w:p w:rsidR="007A280E" w:rsidRPr="007A280E" w:rsidRDefault="007A280E" w:rsidP="007A280E">
            <w:pPr>
              <w:jc w:val="center"/>
              <w:rPr>
                <w:rFonts w:ascii="Times New Roman" w:eastAsia="Calibri" w:hAnsi="Times New Roman" w:cs="Times New Roman"/>
                <w:b/>
                <w:bCs/>
                <w:sz w:val="18"/>
                <w:szCs w:val="18"/>
              </w:rPr>
            </w:pPr>
          </w:p>
          <w:p w:rsidR="007A280E" w:rsidRPr="007A280E" w:rsidRDefault="007A280E" w:rsidP="007A280E">
            <w:pPr>
              <w:jc w:val="center"/>
              <w:rPr>
                <w:rFonts w:ascii="Times New Roman" w:eastAsia="Calibri" w:hAnsi="Times New Roman" w:cs="Times New Roman"/>
                <w:b/>
                <w:bCs/>
                <w:sz w:val="18"/>
                <w:szCs w:val="18"/>
              </w:rPr>
            </w:pPr>
          </w:p>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Mean value</w:t>
            </w:r>
          </w:p>
        </w:tc>
        <w:tc>
          <w:tcPr>
            <w:tcW w:w="1056" w:type="dxa"/>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Total</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4.25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6</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5.15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50%</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3</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7</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4.35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20%</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4</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6</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3.9</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30%</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20%</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5</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6</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8</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4.95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40%</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6</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11</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5.15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55%</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7</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11</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5.1</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55%</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8</w:t>
            </w:r>
          </w:p>
        </w:tc>
        <w:tc>
          <w:tcPr>
            <w:tcW w:w="1139"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8</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4.95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40%</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9</w:t>
            </w:r>
          </w:p>
        </w:tc>
        <w:tc>
          <w:tcPr>
            <w:tcW w:w="1139"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7</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4.8</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35%</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14</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lastRenderedPageBreak/>
              <w:t>5.5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lastRenderedPageBreak/>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70%</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11</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9</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4.9</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45%</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12</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7</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4.6</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35%</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13</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4.95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50%</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14</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4.75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20%</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p w:rsidR="009E3E85" w:rsidRDefault="009E3E85" w:rsidP="007A280E">
            <w:pPr>
              <w:jc w:val="center"/>
              <w:rPr>
                <w:rFonts w:ascii="Times New Roman" w:eastAsia="Calibri" w:hAnsi="Times New Roman" w:cs="Times New Roman"/>
                <w:b/>
                <w:bCs/>
                <w:sz w:val="18"/>
                <w:szCs w:val="18"/>
              </w:rPr>
            </w:pPr>
          </w:p>
          <w:p w:rsidR="009E3E85" w:rsidRPr="007A280E" w:rsidRDefault="009E3E85" w:rsidP="007A280E">
            <w:pPr>
              <w:jc w:val="center"/>
              <w:rPr>
                <w:rFonts w:ascii="Times New Roman" w:eastAsia="Calibri" w:hAnsi="Times New Roman" w:cs="Times New Roman"/>
                <w:b/>
                <w:bCs/>
                <w:sz w:val="18"/>
                <w:szCs w:val="18"/>
              </w:rPr>
            </w:pP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15</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6</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7</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4.8</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35%</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16</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8</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7</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4.7</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35%</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17</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7</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4.6</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35%</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18</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8</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8</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5.1</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40%</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19</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11</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5.05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55%</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7</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4.55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35%</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21</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6</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8</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4.7</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40%</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22</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4.35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23</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7</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4.25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20%</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24</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7</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5.3</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4" w:space="0" w:color="FFFFFF"/>
              <w:left w:val="nil"/>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4" w:space="0" w:color="FFFFFF"/>
              <w:left w:val="nil"/>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2" w:type="dxa"/>
            <w:tcBorders>
              <w:top w:val="single" w:sz="4" w:space="0" w:color="FFFFFF"/>
              <w:left w:val="nil"/>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10%</w:t>
            </w:r>
          </w:p>
        </w:tc>
        <w:tc>
          <w:tcPr>
            <w:tcW w:w="1151" w:type="dxa"/>
            <w:tcBorders>
              <w:top w:val="single" w:sz="4" w:space="0" w:color="FFFFFF"/>
              <w:left w:val="nil"/>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35%</w:t>
            </w:r>
          </w:p>
        </w:tc>
        <w:tc>
          <w:tcPr>
            <w:tcW w:w="1141" w:type="dxa"/>
            <w:tcBorders>
              <w:top w:val="single" w:sz="4" w:space="0" w:color="FFFFFF"/>
              <w:left w:val="nil"/>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50%</w:t>
            </w:r>
          </w:p>
        </w:tc>
        <w:tc>
          <w:tcPr>
            <w:tcW w:w="961" w:type="dxa"/>
            <w:tcBorders>
              <w:top w:val="single" w:sz="4" w:space="0" w:color="FFFFFF"/>
              <w:left w:val="nil"/>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r w:rsidR="007A280E" w:rsidRPr="007A280E" w:rsidTr="009E3E85">
        <w:trPr>
          <w:trHeight w:val="227"/>
          <w:jc w:val="center"/>
        </w:trPr>
        <w:tc>
          <w:tcPr>
            <w:tcW w:w="414" w:type="dxa"/>
            <w:vMerge w:val="restart"/>
            <w:tcBorders>
              <w:top w:val="single" w:sz="12" w:space="0" w:color="auto"/>
              <w:left w:val="nil"/>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25</w:t>
            </w:r>
          </w:p>
        </w:tc>
        <w:tc>
          <w:tcPr>
            <w:tcW w:w="1139"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1</w:t>
            </w:r>
          </w:p>
        </w:tc>
        <w:tc>
          <w:tcPr>
            <w:tcW w:w="1142"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5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7</w:t>
            </w:r>
          </w:p>
        </w:tc>
        <w:tc>
          <w:tcPr>
            <w:tcW w:w="1141"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7</w:t>
            </w:r>
          </w:p>
        </w:tc>
        <w:tc>
          <w:tcPr>
            <w:tcW w:w="961" w:type="dxa"/>
            <w:tcBorders>
              <w:top w:val="single" w:sz="12" w:space="0" w:color="auto"/>
              <w:left w:val="nil"/>
              <w:bottom w:val="single" w:sz="4" w:space="0" w:color="FFFFFF"/>
              <w:right w:val="nil"/>
            </w:tcBorders>
          </w:tcPr>
          <w:p w:rsidR="007A280E" w:rsidRPr="007A280E" w:rsidRDefault="007A280E" w:rsidP="007A280E">
            <w:pPr>
              <w:jc w:val="center"/>
              <w:rPr>
                <w:rFonts w:ascii="Times New Roman" w:eastAsia="Calibri" w:hAnsi="Times New Roman" w:cs="Times New Roman"/>
                <w:sz w:val="18"/>
                <w:szCs w:val="18"/>
              </w:rPr>
            </w:pPr>
          </w:p>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056" w:type="dxa"/>
            <w:tcBorders>
              <w:top w:val="single" w:sz="12" w:space="0" w:color="auto"/>
              <w:left w:val="nil"/>
              <w:bottom w:val="single" w:sz="4" w:space="0" w:color="FFFFFF"/>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20</w:t>
            </w:r>
          </w:p>
        </w:tc>
      </w:tr>
      <w:tr w:rsidR="007A280E" w:rsidRPr="007A280E" w:rsidTr="009E3E85">
        <w:trPr>
          <w:trHeight w:val="227"/>
          <w:jc w:val="center"/>
        </w:trPr>
        <w:tc>
          <w:tcPr>
            <w:tcW w:w="414" w:type="dxa"/>
            <w:vMerge/>
            <w:tcBorders>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p>
        </w:tc>
        <w:tc>
          <w:tcPr>
            <w:tcW w:w="1139"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0%</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5%</w:t>
            </w:r>
          </w:p>
        </w:tc>
        <w:tc>
          <w:tcPr>
            <w:tcW w:w="1142"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25%</w:t>
            </w:r>
          </w:p>
        </w:tc>
        <w:tc>
          <w:tcPr>
            <w:tcW w:w="115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35%</w:t>
            </w:r>
          </w:p>
        </w:tc>
        <w:tc>
          <w:tcPr>
            <w:tcW w:w="1141"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sz w:val="18"/>
                <w:szCs w:val="18"/>
              </w:rPr>
            </w:pPr>
            <w:r w:rsidRPr="007A280E">
              <w:rPr>
                <w:rFonts w:ascii="Times New Roman" w:eastAsia="Calibri" w:hAnsi="Times New Roman" w:cs="Times New Roman"/>
                <w:sz w:val="18"/>
                <w:szCs w:val="18"/>
              </w:rPr>
              <w:t>35%</w:t>
            </w:r>
          </w:p>
        </w:tc>
        <w:tc>
          <w:tcPr>
            <w:tcW w:w="961" w:type="dxa"/>
            <w:tcBorders>
              <w:top w:val="single" w:sz="4" w:space="0" w:color="FFFFFF"/>
              <w:left w:val="nil"/>
              <w:bottom w:val="single" w:sz="12" w:space="0" w:color="auto"/>
              <w:right w:val="nil"/>
            </w:tcBorders>
          </w:tcPr>
          <w:p w:rsidR="007A280E" w:rsidRPr="007A280E" w:rsidRDefault="007A280E" w:rsidP="007A280E">
            <w:pPr>
              <w:jc w:val="center"/>
              <w:rPr>
                <w:rFonts w:ascii="Times New Roman" w:eastAsia="Calibri" w:hAnsi="Times New Roman" w:cs="Times New Roman"/>
                <w:sz w:val="18"/>
                <w:szCs w:val="18"/>
              </w:rPr>
            </w:pPr>
          </w:p>
        </w:tc>
        <w:tc>
          <w:tcPr>
            <w:tcW w:w="1056" w:type="dxa"/>
            <w:tcBorders>
              <w:top w:val="single" w:sz="4" w:space="0" w:color="FFFFFF"/>
              <w:left w:val="nil"/>
              <w:bottom w:val="single" w:sz="12" w:space="0" w:color="auto"/>
              <w:right w:val="nil"/>
            </w:tcBorders>
            <w:vAlign w:val="center"/>
          </w:tcPr>
          <w:p w:rsidR="007A280E" w:rsidRPr="007A280E" w:rsidRDefault="007A280E" w:rsidP="007A280E">
            <w:pPr>
              <w:jc w:val="center"/>
              <w:rPr>
                <w:rFonts w:ascii="Times New Roman" w:eastAsia="Calibri" w:hAnsi="Times New Roman" w:cs="Times New Roman"/>
                <w:b/>
                <w:bCs/>
                <w:sz w:val="18"/>
                <w:szCs w:val="18"/>
              </w:rPr>
            </w:pPr>
            <w:r w:rsidRPr="007A280E">
              <w:rPr>
                <w:rFonts w:ascii="Times New Roman" w:eastAsia="Calibri" w:hAnsi="Times New Roman" w:cs="Times New Roman"/>
                <w:b/>
                <w:bCs/>
                <w:sz w:val="18"/>
                <w:szCs w:val="18"/>
              </w:rPr>
              <w:t>100%</w:t>
            </w:r>
          </w:p>
        </w:tc>
      </w:tr>
    </w:tbl>
    <w:p w:rsidR="00383E3E" w:rsidRDefault="00383E3E" w:rsidP="00C3689A">
      <w:pPr>
        <w:jc w:val="both"/>
        <w:rPr>
          <w:rFonts w:asciiTheme="majorBidi" w:hAnsiTheme="majorBidi" w:cstheme="majorBidi"/>
          <w:sz w:val="24"/>
          <w:szCs w:val="24"/>
        </w:rPr>
      </w:pPr>
    </w:p>
    <w:p w:rsidR="00383E3E" w:rsidRDefault="00FC24E8" w:rsidP="00FC24E8">
      <w:pPr>
        <w:jc w:val="both"/>
        <w:rPr>
          <w:rFonts w:asciiTheme="majorBidi" w:hAnsiTheme="majorBidi" w:cstheme="majorBidi"/>
          <w:sz w:val="24"/>
          <w:szCs w:val="24"/>
        </w:rPr>
      </w:pPr>
      <w:r>
        <w:rPr>
          <w:rFonts w:asciiTheme="majorBidi" w:hAnsiTheme="majorBidi" w:cstheme="majorBidi"/>
          <w:sz w:val="24"/>
          <w:szCs w:val="24"/>
        </w:rPr>
        <w:t>In order to investigate</w:t>
      </w:r>
      <w:r w:rsidR="00383E3E">
        <w:rPr>
          <w:rFonts w:asciiTheme="majorBidi" w:hAnsiTheme="majorBidi" w:cstheme="majorBidi"/>
          <w:sz w:val="24"/>
          <w:szCs w:val="24"/>
        </w:rPr>
        <w:t xml:space="preserve"> the extent to which each textbook would meet the needs declared by the respondents, the </w:t>
      </w:r>
      <w:r>
        <w:rPr>
          <w:rFonts w:asciiTheme="majorBidi" w:hAnsiTheme="majorBidi" w:cstheme="majorBidi"/>
          <w:sz w:val="24"/>
          <w:szCs w:val="24"/>
        </w:rPr>
        <w:t xml:space="preserve">second and third researchers </w:t>
      </w:r>
      <w:r w:rsidR="00383E3E">
        <w:rPr>
          <w:rFonts w:asciiTheme="majorBidi" w:hAnsiTheme="majorBidi" w:cstheme="majorBidi"/>
          <w:sz w:val="24"/>
          <w:szCs w:val="24"/>
        </w:rPr>
        <w:t xml:space="preserve">also </w:t>
      </w:r>
      <w:r w:rsidR="003B1B05">
        <w:rPr>
          <w:rFonts w:asciiTheme="majorBidi" w:hAnsiTheme="majorBidi" w:cstheme="majorBidi"/>
          <w:sz w:val="24"/>
          <w:szCs w:val="24"/>
        </w:rPr>
        <w:t>evaluated the suitability of the books by meticulously scrutinizing all the activities in the books</w:t>
      </w:r>
      <w:r w:rsidR="00383E3E">
        <w:rPr>
          <w:rFonts w:asciiTheme="majorBidi" w:hAnsiTheme="majorBidi" w:cstheme="majorBidi"/>
          <w:sz w:val="24"/>
          <w:szCs w:val="24"/>
        </w:rPr>
        <w:t xml:space="preserve">. </w:t>
      </w:r>
    </w:p>
    <w:p w:rsidR="00383E3E" w:rsidRPr="005F0D94" w:rsidRDefault="003B1B05" w:rsidP="00FC24E8">
      <w:pPr>
        <w:jc w:val="both"/>
        <w:rPr>
          <w:rFonts w:asciiTheme="majorBidi" w:hAnsiTheme="majorBidi" w:cstheme="majorBidi"/>
          <w:sz w:val="24"/>
          <w:szCs w:val="24"/>
          <w:lang w:val="en-GB"/>
        </w:rPr>
      </w:pPr>
      <w:r>
        <w:rPr>
          <w:rFonts w:asciiTheme="majorBidi" w:hAnsiTheme="majorBidi" w:cstheme="majorBidi"/>
          <w:sz w:val="24"/>
          <w:szCs w:val="24"/>
        </w:rPr>
        <w:lastRenderedPageBreak/>
        <w:t>I</w:t>
      </w:r>
      <w:r w:rsidR="006109A9">
        <w:rPr>
          <w:rFonts w:asciiTheme="majorBidi" w:hAnsiTheme="majorBidi" w:cstheme="majorBidi"/>
          <w:sz w:val="24"/>
          <w:szCs w:val="24"/>
        </w:rPr>
        <w:t>tem one</w:t>
      </w:r>
      <w:r w:rsidRPr="003B1B05">
        <w:rPr>
          <w:rFonts w:asciiTheme="majorBidi" w:hAnsiTheme="majorBidi" w:cstheme="majorBidi"/>
          <w:sz w:val="24"/>
          <w:szCs w:val="24"/>
        </w:rPr>
        <w:t xml:space="preserve"> </w:t>
      </w:r>
      <w:r>
        <w:rPr>
          <w:rFonts w:asciiTheme="majorBidi" w:hAnsiTheme="majorBidi" w:cstheme="majorBidi"/>
          <w:sz w:val="24"/>
          <w:szCs w:val="24"/>
        </w:rPr>
        <w:t>was considered</w:t>
      </w:r>
      <w:r w:rsidR="006109A9">
        <w:rPr>
          <w:rFonts w:asciiTheme="majorBidi" w:hAnsiTheme="majorBidi" w:cstheme="majorBidi"/>
          <w:sz w:val="24"/>
          <w:szCs w:val="24"/>
        </w:rPr>
        <w:t xml:space="preserve"> </w:t>
      </w:r>
      <w:r w:rsidR="005F0D94">
        <w:rPr>
          <w:rFonts w:asciiTheme="majorBidi" w:hAnsiTheme="majorBidi" w:cstheme="majorBidi"/>
          <w:sz w:val="24"/>
          <w:szCs w:val="24"/>
        </w:rPr>
        <w:t xml:space="preserve">somewhat not important </w:t>
      </w:r>
      <w:r>
        <w:rPr>
          <w:rFonts w:asciiTheme="majorBidi" w:hAnsiTheme="majorBidi" w:cstheme="majorBidi"/>
          <w:sz w:val="24"/>
          <w:szCs w:val="24"/>
        </w:rPr>
        <w:t xml:space="preserve">in </w:t>
      </w:r>
      <w:r w:rsidR="005841A3">
        <w:rPr>
          <w:rFonts w:asciiTheme="majorBidi" w:hAnsiTheme="majorBidi" w:cstheme="majorBidi"/>
          <w:sz w:val="24"/>
          <w:szCs w:val="24"/>
        </w:rPr>
        <w:t>S</w:t>
      </w:r>
      <w:r>
        <w:rPr>
          <w:rFonts w:asciiTheme="majorBidi" w:hAnsiTheme="majorBidi" w:cstheme="majorBidi"/>
          <w:sz w:val="24"/>
          <w:szCs w:val="24"/>
        </w:rPr>
        <w:t>olutions</w:t>
      </w:r>
      <w:r w:rsidR="005F0D94">
        <w:rPr>
          <w:rFonts w:asciiTheme="majorBidi" w:hAnsiTheme="majorBidi" w:cstheme="majorBidi"/>
          <w:sz w:val="24"/>
          <w:szCs w:val="24"/>
        </w:rPr>
        <w:t xml:space="preserve">, while </w:t>
      </w:r>
      <w:r>
        <w:rPr>
          <w:rFonts w:asciiTheme="majorBidi" w:hAnsiTheme="majorBidi" w:cstheme="majorBidi"/>
          <w:sz w:val="24"/>
          <w:szCs w:val="24"/>
        </w:rPr>
        <w:t>in American English File (AEF henceforth)</w:t>
      </w:r>
      <w:r w:rsidR="00FC24E8">
        <w:rPr>
          <w:rFonts w:asciiTheme="majorBidi" w:hAnsiTheme="majorBidi" w:cstheme="majorBidi"/>
          <w:sz w:val="24"/>
          <w:szCs w:val="24"/>
        </w:rPr>
        <w:t>,</w:t>
      </w:r>
      <w:r>
        <w:rPr>
          <w:rFonts w:asciiTheme="majorBidi" w:hAnsiTheme="majorBidi" w:cstheme="majorBidi"/>
          <w:sz w:val="24"/>
          <w:szCs w:val="24"/>
        </w:rPr>
        <w:t xml:space="preserve"> it was </w:t>
      </w:r>
      <w:r w:rsidR="00FC24E8">
        <w:rPr>
          <w:rFonts w:asciiTheme="majorBidi" w:hAnsiTheme="majorBidi" w:cstheme="majorBidi"/>
          <w:sz w:val="24"/>
          <w:szCs w:val="24"/>
        </w:rPr>
        <w:t xml:space="preserve">conceived of as being </w:t>
      </w:r>
      <w:r w:rsidR="005F0D94">
        <w:rPr>
          <w:rFonts w:asciiTheme="majorBidi" w:hAnsiTheme="majorBidi" w:cstheme="majorBidi"/>
          <w:sz w:val="24"/>
          <w:szCs w:val="24"/>
        </w:rPr>
        <w:t>slightly important. The second item</w:t>
      </w:r>
      <w:r w:rsidR="00FC24E8">
        <w:rPr>
          <w:rFonts w:asciiTheme="majorBidi" w:hAnsiTheme="majorBidi" w:cstheme="majorBidi"/>
          <w:sz w:val="24"/>
          <w:szCs w:val="24"/>
        </w:rPr>
        <w:t>,</w:t>
      </w:r>
      <w:r>
        <w:rPr>
          <w:rFonts w:asciiTheme="majorBidi" w:hAnsiTheme="majorBidi" w:cstheme="majorBidi"/>
          <w:sz w:val="24"/>
          <w:szCs w:val="24"/>
        </w:rPr>
        <w:t xml:space="preserve"> concerning </w:t>
      </w:r>
      <w:r>
        <w:rPr>
          <w:rFonts w:asciiTheme="majorBidi" w:hAnsiTheme="majorBidi" w:cstheme="majorBidi"/>
          <w:sz w:val="24"/>
          <w:szCs w:val="24"/>
          <w:lang w:val="en-GB"/>
        </w:rPr>
        <w:t>r</w:t>
      </w:r>
      <w:r w:rsidRPr="005F0D94">
        <w:rPr>
          <w:rFonts w:asciiTheme="majorBidi" w:hAnsiTheme="majorBidi" w:cstheme="majorBidi"/>
          <w:sz w:val="24"/>
          <w:szCs w:val="24"/>
          <w:lang w:val="en-GB"/>
        </w:rPr>
        <w:t>eading English articles on the Internet</w:t>
      </w:r>
      <w:r>
        <w:rPr>
          <w:rFonts w:asciiTheme="majorBidi" w:hAnsiTheme="majorBidi" w:cstheme="majorBidi"/>
          <w:sz w:val="24"/>
          <w:szCs w:val="24"/>
        </w:rPr>
        <w:t xml:space="preserve">, </w:t>
      </w:r>
      <w:r w:rsidR="005F0D94">
        <w:rPr>
          <w:rFonts w:asciiTheme="majorBidi" w:hAnsiTheme="majorBidi" w:cstheme="majorBidi"/>
          <w:sz w:val="24"/>
          <w:szCs w:val="24"/>
        </w:rPr>
        <w:t>g</w:t>
      </w:r>
      <w:r w:rsidR="00FC24E8">
        <w:rPr>
          <w:rFonts w:asciiTheme="majorBidi" w:hAnsiTheme="majorBidi" w:cstheme="majorBidi"/>
          <w:sz w:val="24"/>
          <w:szCs w:val="24"/>
        </w:rPr>
        <w:t>ot exactly the reverse results.</w:t>
      </w:r>
      <w:r w:rsidR="005F0D94">
        <w:rPr>
          <w:rFonts w:asciiTheme="majorBidi" w:hAnsiTheme="majorBidi" w:cstheme="majorBidi"/>
          <w:sz w:val="24"/>
          <w:szCs w:val="24"/>
        </w:rPr>
        <w:t xml:space="preserve"> </w:t>
      </w:r>
      <w:r w:rsidR="00FC24E8">
        <w:rPr>
          <w:rFonts w:asciiTheme="majorBidi" w:hAnsiTheme="majorBidi" w:cstheme="majorBidi"/>
          <w:sz w:val="24"/>
          <w:szCs w:val="24"/>
        </w:rPr>
        <w:t>I</w:t>
      </w:r>
      <w:r>
        <w:rPr>
          <w:rFonts w:asciiTheme="majorBidi" w:hAnsiTheme="majorBidi" w:cstheme="majorBidi"/>
          <w:sz w:val="24"/>
          <w:szCs w:val="24"/>
        </w:rPr>
        <w:t xml:space="preserve">n </w:t>
      </w:r>
      <w:r w:rsidR="005841A3">
        <w:rPr>
          <w:rFonts w:asciiTheme="majorBidi" w:hAnsiTheme="majorBidi" w:cstheme="majorBidi"/>
          <w:sz w:val="24"/>
          <w:szCs w:val="24"/>
        </w:rPr>
        <w:t>S</w:t>
      </w:r>
      <w:r>
        <w:rPr>
          <w:rFonts w:asciiTheme="majorBidi" w:hAnsiTheme="majorBidi" w:cstheme="majorBidi"/>
          <w:sz w:val="24"/>
          <w:szCs w:val="24"/>
        </w:rPr>
        <w:t>olutions</w:t>
      </w:r>
      <w:r w:rsidR="00FC24E8">
        <w:rPr>
          <w:rFonts w:asciiTheme="majorBidi" w:hAnsiTheme="majorBidi" w:cstheme="majorBidi"/>
          <w:sz w:val="24"/>
          <w:szCs w:val="24"/>
        </w:rPr>
        <w:t>,</w:t>
      </w:r>
      <w:r>
        <w:rPr>
          <w:rFonts w:asciiTheme="majorBidi" w:hAnsiTheme="majorBidi" w:cstheme="majorBidi"/>
          <w:sz w:val="24"/>
          <w:szCs w:val="24"/>
        </w:rPr>
        <w:t xml:space="preserve"> it was</w:t>
      </w:r>
      <w:r w:rsidR="005F0D94">
        <w:rPr>
          <w:rFonts w:asciiTheme="majorBidi" w:hAnsiTheme="majorBidi" w:cstheme="majorBidi"/>
          <w:sz w:val="24"/>
          <w:szCs w:val="24"/>
        </w:rPr>
        <w:t xml:space="preserve"> thought of </w:t>
      </w:r>
      <w:r w:rsidR="005F0D94">
        <w:rPr>
          <w:rFonts w:asciiTheme="majorBidi" w:hAnsiTheme="majorBidi" w:cstheme="majorBidi"/>
          <w:sz w:val="24"/>
          <w:szCs w:val="24"/>
          <w:lang w:val="en-GB"/>
        </w:rPr>
        <w:t xml:space="preserve">as a slightly important skill while </w:t>
      </w:r>
      <w:r>
        <w:rPr>
          <w:rFonts w:asciiTheme="majorBidi" w:hAnsiTheme="majorBidi" w:cstheme="majorBidi"/>
          <w:sz w:val="24"/>
          <w:szCs w:val="24"/>
          <w:lang w:val="en-GB"/>
        </w:rPr>
        <w:t>in AEF it was</w:t>
      </w:r>
      <w:r w:rsidR="005F0D94">
        <w:rPr>
          <w:rFonts w:asciiTheme="majorBidi" w:hAnsiTheme="majorBidi" w:cstheme="majorBidi"/>
          <w:sz w:val="24"/>
          <w:szCs w:val="24"/>
          <w:lang w:val="en-GB"/>
        </w:rPr>
        <w:t xml:space="preserve"> believed </w:t>
      </w:r>
      <w:r>
        <w:rPr>
          <w:rFonts w:asciiTheme="majorBidi" w:hAnsiTheme="majorBidi" w:cstheme="majorBidi"/>
          <w:sz w:val="24"/>
          <w:szCs w:val="24"/>
          <w:lang w:val="en-GB"/>
        </w:rPr>
        <w:t>to be</w:t>
      </w:r>
      <w:r w:rsidR="005F0D94">
        <w:rPr>
          <w:rFonts w:asciiTheme="majorBidi" w:hAnsiTheme="majorBidi" w:cstheme="majorBidi"/>
          <w:sz w:val="24"/>
          <w:szCs w:val="24"/>
          <w:lang w:val="en-GB"/>
        </w:rPr>
        <w:t xml:space="preserve"> slightly not important. The third item gained two very close points</w:t>
      </w:r>
      <w:r>
        <w:rPr>
          <w:rFonts w:asciiTheme="majorBidi" w:hAnsiTheme="majorBidi" w:cstheme="majorBidi"/>
          <w:sz w:val="24"/>
          <w:szCs w:val="24"/>
          <w:lang w:val="en-GB"/>
        </w:rPr>
        <w:t xml:space="preserve"> in the two books</w:t>
      </w:r>
      <w:r w:rsidR="005F0D94">
        <w:rPr>
          <w:rFonts w:asciiTheme="majorBidi" w:hAnsiTheme="majorBidi" w:cstheme="majorBidi"/>
          <w:sz w:val="24"/>
          <w:szCs w:val="24"/>
          <w:lang w:val="en-GB"/>
        </w:rPr>
        <w:t>, meaning the teachers considered r</w:t>
      </w:r>
      <w:r w:rsidR="005F0D94" w:rsidRPr="005F0D94">
        <w:rPr>
          <w:rFonts w:asciiTheme="majorBidi" w:hAnsiTheme="majorBidi" w:cstheme="majorBidi"/>
          <w:sz w:val="24"/>
          <w:szCs w:val="24"/>
          <w:lang w:val="en-GB"/>
        </w:rPr>
        <w:t>eading English novels for pleasure</w:t>
      </w:r>
      <w:r w:rsidR="005F0D94">
        <w:rPr>
          <w:rFonts w:asciiTheme="majorBidi" w:hAnsiTheme="majorBidi" w:cstheme="majorBidi"/>
          <w:sz w:val="24"/>
          <w:szCs w:val="24"/>
          <w:lang w:val="en-GB"/>
        </w:rPr>
        <w:t xml:space="preserve"> as somewhat not important </w:t>
      </w:r>
      <w:r>
        <w:rPr>
          <w:rFonts w:asciiTheme="majorBidi" w:hAnsiTheme="majorBidi" w:cstheme="majorBidi"/>
          <w:sz w:val="24"/>
          <w:szCs w:val="24"/>
          <w:lang w:val="en-GB"/>
        </w:rPr>
        <w:t xml:space="preserve">in </w:t>
      </w:r>
      <w:r w:rsidR="005841A3">
        <w:rPr>
          <w:rFonts w:asciiTheme="majorBidi" w:hAnsiTheme="majorBidi" w:cstheme="majorBidi"/>
          <w:sz w:val="24"/>
          <w:szCs w:val="24"/>
          <w:lang w:val="en-GB"/>
        </w:rPr>
        <w:t>S</w:t>
      </w:r>
      <w:r>
        <w:rPr>
          <w:rFonts w:asciiTheme="majorBidi" w:hAnsiTheme="majorBidi" w:cstheme="majorBidi"/>
          <w:sz w:val="24"/>
          <w:szCs w:val="24"/>
          <w:lang w:val="en-GB"/>
        </w:rPr>
        <w:t xml:space="preserve">olutions </w:t>
      </w:r>
      <w:r w:rsidR="005F0D94">
        <w:rPr>
          <w:rFonts w:asciiTheme="majorBidi" w:hAnsiTheme="majorBidi" w:cstheme="majorBidi"/>
          <w:sz w:val="24"/>
          <w:szCs w:val="24"/>
          <w:lang w:val="en-GB"/>
        </w:rPr>
        <w:t xml:space="preserve">and slightly not important </w:t>
      </w:r>
      <w:r>
        <w:rPr>
          <w:rFonts w:asciiTheme="majorBidi" w:hAnsiTheme="majorBidi" w:cstheme="majorBidi"/>
          <w:sz w:val="24"/>
          <w:szCs w:val="24"/>
          <w:lang w:val="en-GB"/>
        </w:rPr>
        <w:t>in AEF</w:t>
      </w:r>
      <w:r w:rsidR="005F0D94">
        <w:rPr>
          <w:rFonts w:asciiTheme="majorBidi" w:hAnsiTheme="majorBidi" w:cstheme="majorBidi"/>
          <w:sz w:val="24"/>
          <w:szCs w:val="24"/>
          <w:lang w:val="en-GB"/>
        </w:rPr>
        <w:t>. The forth item</w:t>
      </w:r>
      <w:r w:rsidR="00FC24E8">
        <w:rPr>
          <w:rFonts w:asciiTheme="majorBidi" w:hAnsiTheme="majorBidi" w:cstheme="majorBidi"/>
          <w:sz w:val="24"/>
          <w:szCs w:val="24"/>
          <w:lang w:val="en-GB"/>
        </w:rPr>
        <w:t>,</w:t>
      </w:r>
      <w:r w:rsidR="005F0D94">
        <w:rPr>
          <w:rFonts w:asciiTheme="majorBidi" w:hAnsiTheme="majorBidi" w:cstheme="majorBidi"/>
          <w:sz w:val="24"/>
          <w:szCs w:val="24"/>
          <w:lang w:val="en-GB"/>
        </w:rPr>
        <w:t xml:space="preserve"> dealing with r</w:t>
      </w:r>
      <w:r w:rsidR="005F0D94" w:rsidRPr="005F0D94">
        <w:rPr>
          <w:rFonts w:asciiTheme="majorBidi" w:hAnsiTheme="majorBidi" w:cstheme="majorBidi"/>
          <w:sz w:val="24"/>
          <w:szCs w:val="24"/>
          <w:lang w:val="en-GB"/>
        </w:rPr>
        <w:t>eading English newspapers</w:t>
      </w:r>
      <w:r w:rsidR="005F0D94">
        <w:rPr>
          <w:rFonts w:asciiTheme="majorBidi" w:hAnsiTheme="majorBidi" w:cstheme="majorBidi"/>
          <w:sz w:val="24"/>
          <w:szCs w:val="24"/>
          <w:lang w:val="en-GB"/>
        </w:rPr>
        <w:t xml:space="preserve"> was assumed slightly not important </w:t>
      </w:r>
      <w:r>
        <w:rPr>
          <w:rFonts w:asciiTheme="majorBidi" w:hAnsiTheme="majorBidi" w:cstheme="majorBidi"/>
          <w:sz w:val="24"/>
          <w:szCs w:val="24"/>
          <w:lang w:val="en-GB"/>
        </w:rPr>
        <w:t xml:space="preserve">in </w:t>
      </w:r>
      <w:r w:rsidR="005841A3">
        <w:rPr>
          <w:rFonts w:asciiTheme="majorBidi" w:hAnsiTheme="majorBidi" w:cstheme="majorBidi"/>
          <w:sz w:val="24"/>
          <w:szCs w:val="24"/>
          <w:lang w:val="en-GB"/>
        </w:rPr>
        <w:t>S</w:t>
      </w:r>
      <w:r>
        <w:rPr>
          <w:rFonts w:asciiTheme="majorBidi" w:hAnsiTheme="majorBidi" w:cstheme="majorBidi"/>
          <w:sz w:val="24"/>
          <w:szCs w:val="24"/>
          <w:lang w:val="en-GB"/>
        </w:rPr>
        <w:t>olutions</w:t>
      </w:r>
      <w:r w:rsidR="00FC24E8">
        <w:rPr>
          <w:rFonts w:asciiTheme="majorBidi" w:hAnsiTheme="majorBidi" w:cstheme="majorBidi"/>
          <w:sz w:val="24"/>
          <w:szCs w:val="24"/>
          <w:lang w:val="en-GB"/>
        </w:rPr>
        <w:t>;</w:t>
      </w:r>
      <w:r w:rsidR="005F0D94">
        <w:rPr>
          <w:rFonts w:asciiTheme="majorBidi" w:hAnsiTheme="majorBidi" w:cstheme="majorBidi"/>
          <w:sz w:val="24"/>
          <w:szCs w:val="24"/>
          <w:lang w:val="en-GB"/>
        </w:rPr>
        <w:t xml:space="preserve"> however, </w:t>
      </w:r>
      <w:r>
        <w:rPr>
          <w:rFonts w:asciiTheme="majorBidi" w:hAnsiTheme="majorBidi" w:cstheme="majorBidi"/>
          <w:sz w:val="24"/>
          <w:szCs w:val="24"/>
          <w:lang w:val="en-GB"/>
        </w:rPr>
        <w:t>AEF</w:t>
      </w:r>
      <w:r w:rsidR="005F0D94">
        <w:rPr>
          <w:rFonts w:asciiTheme="majorBidi" w:hAnsiTheme="majorBidi" w:cstheme="majorBidi"/>
          <w:sz w:val="24"/>
          <w:szCs w:val="24"/>
          <w:lang w:val="en-GB"/>
        </w:rPr>
        <w:t xml:space="preserve"> confirmed this need as a very significant one. Considering the fifth item, both of the </w:t>
      </w:r>
      <w:r>
        <w:rPr>
          <w:rFonts w:asciiTheme="majorBidi" w:hAnsiTheme="majorBidi" w:cstheme="majorBidi"/>
          <w:sz w:val="24"/>
          <w:szCs w:val="24"/>
          <w:lang w:val="en-GB"/>
        </w:rPr>
        <w:t>books</w:t>
      </w:r>
      <w:r w:rsidR="005F0D94">
        <w:rPr>
          <w:rFonts w:asciiTheme="majorBidi" w:hAnsiTheme="majorBidi" w:cstheme="majorBidi"/>
          <w:sz w:val="24"/>
          <w:szCs w:val="24"/>
          <w:lang w:val="en-GB"/>
        </w:rPr>
        <w:t xml:space="preserve"> </w:t>
      </w:r>
      <w:r>
        <w:rPr>
          <w:rFonts w:asciiTheme="majorBidi" w:hAnsiTheme="majorBidi" w:cstheme="majorBidi"/>
          <w:sz w:val="24"/>
          <w:szCs w:val="24"/>
          <w:lang w:val="en-GB"/>
        </w:rPr>
        <w:t>indicated that r</w:t>
      </w:r>
      <w:r w:rsidRPr="003B1B05">
        <w:rPr>
          <w:rFonts w:asciiTheme="majorBidi" w:hAnsiTheme="majorBidi" w:cstheme="majorBidi"/>
          <w:sz w:val="24"/>
          <w:szCs w:val="24"/>
          <w:lang w:val="en-GB"/>
        </w:rPr>
        <w:t>eading e-mails from foreign friends written in English</w:t>
      </w:r>
      <w:r w:rsidR="00936A1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is </w:t>
      </w:r>
      <w:r w:rsidR="00936A11">
        <w:rPr>
          <w:rFonts w:asciiTheme="majorBidi" w:hAnsiTheme="majorBidi" w:cstheme="majorBidi"/>
          <w:sz w:val="24"/>
          <w:szCs w:val="24"/>
          <w:lang w:val="en-GB"/>
        </w:rPr>
        <w:t>somewhat important.</w:t>
      </w:r>
    </w:p>
    <w:p w:rsidR="00FC24E8" w:rsidRDefault="00936A11" w:rsidP="00FC24E8">
      <w:pPr>
        <w:jc w:val="both"/>
        <w:rPr>
          <w:rFonts w:asciiTheme="majorBidi" w:hAnsiTheme="majorBidi" w:cstheme="majorBidi"/>
          <w:sz w:val="24"/>
          <w:szCs w:val="24"/>
        </w:rPr>
      </w:pPr>
      <w:r>
        <w:rPr>
          <w:rFonts w:asciiTheme="majorBidi" w:hAnsiTheme="majorBidi" w:cstheme="majorBidi"/>
          <w:sz w:val="24"/>
          <w:szCs w:val="24"/>
        </w:rPr>
        <w:t xml:space="preserve">As for the sixth item, </w:t>
      </w:r>
      <w:r w:rsidR="005841A3">
        <w:rPr>
          <w:rFonts w:asciiTheme="majorBidi" w:hAnsiTheme="majorBidi" w:cstheme="majorBidi"/>
          <w:sz w:val="24"/>
          <w:szCs w:val="24"/>
        </w:rPr>
        <w:t>S</w:t>
      </w:r>
      <w:r w:rsidR="003B1B05">
        <w:rPr>
          <w:rFonts w:asciiTheme="majorBidi" w:hAnsiTheme="majorBidi" w:cstheme="majorBidi"/>
          <w:sz w:val="24"/>
          <w:szCs w:val="24"/>
        </w:rPr>
        <w:t>olutions</w:t>
      </w:r>
      <w:r>
        <w:rPr>
          <w:rFonts w:asciiTheme="majorBidi" w:hAnsiTheme="majorBidi" w:cstheme="majorBidi"/>
          <w:sz w:val="24"/>
          <w:szCs w:val="24"/>
        </w:rPr>
        <w:t xml:space="preserve"> did not </w:t>
      </w:r>
      <w:r w:rsidR="005841A3">
        <w:rPr>
          <w:rFonts w:asciiTheme="majorBidi" w:hAnsiTheme="majorBidi" w:cstheme="majorBidi"/>
          <w:sz w:val="24"/>
          <w:szCs w:val="24"/>
        </w:rPr>
        <w:t>prove</w:t>
      </w:r>
      <w:r>
        <w:rPr>
          <w:rFonts w:asciiTheme="majorBidi" w:hAnsiTheme="majorBidi" w:cstheme="majorBidi"/>
          <w:sz w:val="24"/>
          <w:szCs w:val="24"/>
        </w:rPr>
        <w:t xml:space="preserve"> this need to be important at all, while the other </w:t>
      </w:r>
      <w:r w:rsidR="005841A3">
        <w:rPr>
          <w:rFonts w:asciiTheme="majorBidi" w:hAnsiTheme="majorBidi" w:cstheme="majorBidi"/>
          <w:sz w:val="24"/>
          <w:szCs w:val="24"/>
        </w:rPr>
        <w:t>signified</w:t>
      </w:r>
      <w:r>
        <w:rPr>
          <w:rFonts w:asciiTheme="majorBidi" w:hAnsiTheme="majorBidi" w:cstheme="majorBidi"/>
          <w:sz w:val="24"/>
          <w:szCs w:val="24"/>
        </w:rPr>
        <w:t xml:space="preserve"> that</w:t>
      </w:r>
      <w:r w:rsidR="005841A3">
        <w:rPr>
          <w:rFonts w:asciiTheme="majorBidi" w:hAnsiTheme="majorBidi" w:cstheme="majorBidi"/>
          <w:sz w:val="24"/>
          <w:szCs w:val="24"/>
        </w:rPr>
        <w:t xml:space="preserve"> it was</w:t>
      </w:r>
      <w:r>
        <w:rPr>
          <w:rFonts w:asciiTheme="majorBidi" w:hAnsiTheme="majorBidi" w:cstheme="majorBidi"/>
          <w:sz w:val="24"/>
          <w:szCs w:val="24"/>
        </w:rPr>
        <w:t xml:space="preserve"> slightly important. Item seven was marked </w:t>
      </w:r>
      <w:r w:rsidR="005841A3">
        <w:rPr>
          <w:rFonts w:asciiTheme="majorBidi" w:hAnsiTheme="majorBidi" w:cstheme="majorBidi"/>
          <w:sz w:val="24"/>
          <w:szCs w:val="24"/>
        </w:rPr>
        <w:t xml:space="preserve">as </w:t>
      </w:r>
      <w:r>
        <w:rPr>
          <w:rFonts w:asciiTheme="majorBidi" w:hAnsiTheme="majorBidi" w:cstheme="majorBidi"/>
          <w:sz w:val="24"/>
          <w:szCs w:val="24"/>
        </w:rPr>
        <w:t>slightly significant</w:t>
      </w:r>
      <w:r w:rsidR="005841A3">
        <w:rPr>
          <w:rFonts w:asciiTheme="majorBidi" w:hAnsiTheme="majorBidi" w:cstheme="majorBidi"/>
          <w:sz w:val="24"/>
          <w:szCs w:val="24"/>
        </w:rPr>
        <w:t xml:space="preserve"> in both of the books. </w:t>
      </w:r>
      <w:r>
        <w:rPr>
          <w:rFonts w:asciiTheme="majorBidi" w:hAnsiTheme="majorBidi" w:cstheme="majorBidi"/>
          <w:sz w:val="24"/>
          <w:szCs w:val="24"/>
        </w:rPr>
        <w:t>Item eight was reg</w:t>
      </w:r>
      <w:r w:rsidR="005841A3">
        <w:rPr>
          <w:rFonts w:asciiTheme="majorBidi" w:hAnsiTheme="majorBidi" w:cstheme="majorBidi"/>
          <w:sz w:val="24"/>
          <w:szCs w:val="24"/>
        </w:rPr>
        <w:t xml:space="preserve">arded somewhat not important in Solutions </w:t>
      </w:r>
      <w:r>
        <w:rPr>
          <w:rFonts w:asciiTheme="majorBidi" w:hAnsiTheme="majorBidi" w:cstheme="majorBidi"/>
          <w:sz w:val="24"/>
          <w:szCs w:val="24"/>
        </w:rPr>
        <w:t xml:space="preserve">and slightly important </w:t>
      </w:r>
      <w:r w:rsidR="005841A3">
        <w:rPr>
          <w:rFonts w:asciiTheme="majorBidi" w:hAnsiTheme="majorBidi" w:cstheme="majorBidi"/>
          <w:sz w:val="24"/>
          <w:szCs w:val="24"/>
        </w:rPr>
        <w:t>in AEF</w:t>
      </w:r>
      <w:r>
        <w:rPr>
          <w:rFonts w:asciiTheme="majorBidi" w:hAnsiTheme="majorBidi" w:cstheme="majorBidi"/>
          <w:sz w:val="24"/>
          <w:szCs w:val="24"/>
        </w:rPr>
        <w:t xml:space="preserve">. Regarding the ninth item </w:t>
      </w:r>
      <w:r w:rsidR="005841A3">
        <w:rPr>
          <w:rFonts w:asciiTheme="majorBidi" w:hAnsiTheme="majorBidi" w:cstheme="majorBidi"/>
          <w:sz w:val="24"/>
          <w:szCs w:val="24"/>
        </w:rPr>
        <w:t xml:space="preserve">the activities in </w:t>
      </w:r>
      <w:r>
        <w:rPr>
          <w:rFonts w:asciiTheme="majorBidi" w:hAnsiTheme="majorBidi" w:cstheme="majorBidi"/>
          <w:sz w:val="24"/>
          <w:szCs w:val="24"/>
        </w:rPr>
        <w:t xml:space="preserve">both of the </w:t>
      </w:r>
      <w:r w:rsidR="005841A3">
        <w:rPr>
          <w:rFonts w:asciiTheme="majorBidi" w:hAnsiTheme="majorBidi" w:cstheme="majorBidi"/>
          <w:sz w:val="24"/>
          <w:szCs w:val="24"/>
        </w:rPr>
        <w:t>books confirmed</w:t>
      </w:r>
      <w:r>
        <w:rPr>
          <w:rFonts w:asciiTheme="majorBidi" w:hAnsiTheme="majorBidi" w:cstheme="majorBidi"/>
          <w:sz w:val="24"/>
          <w:szCs w:val="24"/>
        </w:rPr>
        <w:t xml:space="preserve"> that practicing l</w:t>
      </w:r>
      <w:r w:rsidRPr="00936A11">
        <w:rPr>
          <w:rFonts w:asciiTheme="majorBidi" w:hAnsiTheme="majorBidi" w:cstheme="majorBidi"/>
          <w:sz w:val="24"/>
          <w:szCs w:val="24"/>
        </w:rPr>
        <w:t>istening to a speech in a conference given in English</w:t>
      </w:r>
      <w:r>
        <w:rPr>
          <w:rFonts w:asciiTheme="majorBidi" w:hAnsiTheme="majorBidi" w:cstheme="majorBidi"/>
          <w:sz w:val="24"/>
          <w:szCs w:val="24"/>
        </w:rPr>
        <w:t>, is</w:t>
      </w:r>
      <w:r w:rsidR="00F74C67">
        <w:rPr>
          <w:rFonts w:asciiTheme="majorBidi" w:hAnsiTheme="majorBidi" w:cstheme="majorBidi"/>
          <w:sz w:val="24"/>
          <w:szCs w:val="24"/>
        </w:rPr>
        <w:t xml:space="preserve"> somewhat not important</w:t>
      </w:r>
      <w:r>
        <w:rPr>
          <w:rFonts w:asciiTheme="majorBidi" w:hAnsiTheme="majorBidi" w:cstheme="majorBidi"/>
          <w:sz w:val="24"/>
          <w:szCs w:val="24"/>
        </w:rPr>
        <w:t xml:space="preserve">. </w:t>
      </w:r>
      <w:r w:rsidR="005841A3">
        <w:rPr>
          <w:rFonts w:asciiTheme="majorBidi" w:hAnsiTheme="majorBidi" w:cstheme="majorBidi"/>
          <w:sz w:val="24"/>
          <w:szCs w:val="24"/>
        </w:rPr>
        <w:t>Item ten, which dealt with w</w:t>
      </w:r>
      <w:r w:rsidR="005841A3" w:rsidRPr="00936A11">
        <w:rPr>
          <w:rFonts w:asciiTheme="majorBidi" w:hAnsiTheme="majorBidi" w:cstheme="majorBidi"/>
          <w:sz w:val="24"/>
          <w:szCs w:val="24"/>
        </w:rPr>
        <w:t>atching movies or TV programs in English</w:t>
      </w:r>
      <w:r w:rsidR="00FC24E8">
        <w:rPr>
          <w:rFonts w:asciiTheme="majorBidi" w:hAnsiTheme="majorBidi" w:cstheme="majorBidi"/>
          <w:sz w:val="24"/>
          <w:szCs w:val="24"/>
        </w:rPr>
        <w:t>,</w:t>
      </w:r>
      <w:r w:rsidR="005841A3">
        <w:rPr>
          <w:rFonts w:asciiTheme="majorBidi" w:hAnsiTheme="majorBidi" w:cstheme="majorBidi"/>
          <w:sz w:val="24"/>
          <w:szCs w:val="24"/>
        </w:rPr>
        <w:t xml:space="preserve"> proved to be </w:t>
      </w:r>
      <w:r>
        <w:rPr>
          <w:rFonts w:asciiTheme="majorBidi" w:hAnsiTheme="majorBidi" w:cstheme="majorBidi"/>
          <w:sz w:val="24"/>
          <w:szCs w:val="24"/>
        </w:rPr>
        <w:t>as somewhat not important and slightly important</w:t>
      </w:r>
      <w:r w:rsidR="005841A3">
        <w:rPr>
          <w:rFonts w:asciiTheme="majorBidi" w:hAnsiTheme="majorBidi" w:cstheme="majorBidi"/>
          <w:sz w:val="24"/>
          <w:szCs w:val="24"/>
        </w:rPr>
        <w:t xml:space="preserve"> in Solutions and AEF</w:t>
      </w:r>
      <w:r w:rsidR="00FC24E8">
        <w:rPr>
          <w:rFonts w:asciiTheme="majorBidi" w:hAnsiTheme="majorBidi" w:cstheme="majorBidi"/>
          <w:sz w:val="24"/>
          <w:szCs w:val="24"/>
        </w:rPr>
        <w:t>,</w:t>
      </w:r>
      <w:r w:rsidR="005841A3">
        <w:rPr>
          <w:rFonts w:asciiTheme="majorBidi" w:hAnsiTheme="majorBidi" w:cstheme="majorBidi"/>
          <w:sz w:val="24"/>
          <w:szCs w:val="24"/>
        </w:rPr>
        <w:t xml:space="preserve"> respectively</w:t>
      </w:r>
      <w:r>
        <w:rPr>
          <w:rFonts w:asciiTheme="majorBidi" w:hAnsiTheme="majorBidi" w:cstheme="majorBidi"/>
          <w:sz w:val="24"/>
          <w:szCs w:val="24"/>
        </w:rPr>
        <w:t xml:space="preserve">. </w:t>
      </w:r>
    </w:p>
    <w:p w:rsidR="00FC24E8" w:rsidRDefault="00936A11" w:rsidP="00FC24E8">
      <w:pPr>
        <w:jc w:val="both"/>
        <w:rPr>
          <w:rFonts w:asciiTheme="majorBidi" w:hAnsiTheme="majorBidi" w:cstheme="majorBidi"/>
          <w:sz w:val="24"/>
          <w:szCs w:val="24"/>
        </w:rPr>
      </w:pPr>
      <w:r>
        <w:rPr>
          <w:rFonts w:asciiTheme="majorBidi" w:hAnsiTheme="majorBidi" w:cstheme="majorBidi"/>
          <w:sz w:val="24"/>
          <w:szCs w:val="24"/>
        </w:rPr>
        <w:t>Item eleven</w:t>
      </w:r>
      <w:r w:rsidR="00FC24E8">
        <w:rPr>
          <w:rFonts w:asciiTheme="majorBidi" w:hAnsiTheme="majorBidi" w:cstheme="majorBidi"/>
          <w:sz w:val="24"/>
          <w:szCs w:val="24"/>
        </w:rPr>
        <w:t>,</w:t>
      </w:r>
      <w:r>
        <w:rPr>
          <w:rFonts w:asciiTheme="majorBidi" w:hAnsiTheme="majorBidi" w:cstheme="majorBidi"/>
          <w:sz w:val="24"/>
          <w:szCs w:val="24"/>
        </w:rPr>
        <w:t xml:space="preserve"> concerning </w:t>
      </w:r>
      <w:r>
        <w:rPr>
          <w:rFonts w:asciiTheme="majorBidi" w:hAnsiTheme="majorBidi" w:cstheme="majorBidi"/>
          <w:sz w:val="24"/>
          <w:szCs w:val="24"/>
          <w:lang w:val="en-GB"/>
        </w:rPr>
        <w:t>l</w:t>
      </w:r>
      <w:r w:rsidRPr="00936A11">
        <w:rPr>
          <w:rFonts w:asciiTheme="majorBidi" w:hAnsiTheme="majorBidi" w:cstheme="majorBidi"/>
          <w:sz w:val="24"/>
          <w:szCs w:val="24"/>
          <w:lang w:val="en-GB"/>
        </w:rPr>
        <w:t>istening to English language music</w:t>
      </w:r>
      <w:r>
        <w:rPr>
          <w:rFonts w:asciiTheme="majorBidi" w:hAnsiTheme="majorBidi" w:cstheme="majorBidi"/>
          <w:sz w:val="24"/>
          <w:szCs w:val="24"/>
          <w:lang w:val="en-GB"/>
        </w:rPr>
        <w:t xml:space="preserve">, was regarded as somewhat not important </w:t>
      </w:r>
      <w:r w:rsidR="005841A3">
        <w:rPr>
          <w:rFonts w:asciiTheme="majorBidi" w:hAnsiTheme="majorBidi" w:cstheme="majorBidi"/>
          <w:sz w:val="24"/>
          <w:szCs w:val="24"/>
          <w:lang w:val="en-GB"/>
        </w:rPr>
        <w:t>in Solutions</w:t>
      </w:r>
      <w:r>
        <w:rPr>
          <w:rFonts w:asciiTheme="majorBidi" w:hAnsiTheme="majorBidi" w:cstheme="majorBidi"/>
          <w:sz w:val="24"/>
          <w:szCs w:val="24"/>
          <w:lang w:val="en-GB"/>
        </w:rPr>
        <w:t xml:space="preserve"> and highly sig</w:t>
      </w:r>
      <w:r w:rsidR="00F74C67">
        <w:rPr>
          <w:rFonts w:asciiTheme="majorBidi" w:hAnsiTheme="majorBidi" w:cstheme="majorBidi"/>
          <w:sz w:val="24"/>
          <w:szCs w:val="24"/>
          <w:lang w:val="en-GB"/>
        </w:rPr>
        <w:t xml:space="preserve">nificant </w:t>
      </w:r>
      <w:r w:rsidR="005841A3">
        <w:rPr>
          <w:rFonts w:asciiTheme="majorBidi" w:hAnsiTheme="majorBidi" w:cstheme="majorBidi"/>
          <w:sz w:val="24"/>
          <w:szCs w:val="24"/>
          <w:lang w:val="en-GB"/>
        </w:rPr>
        <w:t>in AEF</w:t>
      </w:r>
      <w:r w:rsidR="00F74C67">
        <w:rPr>
          <w:rFonts w:asciiTheme="majorBidi" w:hAnsiTheme="majorBidi" w:cstheme="majorBidi"/>
          <w:sz w:val="24"/>
          <w:szCs w:val="24"/>
          <w:lang w:val="en-GB"/>
        </w:rPr>
        <w:t xml:space="preserve">. Item twelve was </w:t>
      </w:r>
      <w:r w:rsidR="005841A3">
        <w:rPr>
          <w:rFonts w:asciiTheme="majorBidi" w:hAnsiTheme="majorBidi" w:cstheme="majorBidi"/>
          <w:sz w:val="24"/>
          <w:szCs w:val="24"/>
          <w:lang w:val="en-GB"/>
        </w:rPr>
        <w:t>found to be</w:t>
      </w:r>
      <w:r w:rsidR="00F74C67">
        <w:rPr>
          <w:rFonts w:asciiTheme="majorBidi" w:hAnsiTheme="majorBidi" w:cstheme="majorBidi"/>
          <w:sz w:val="24"/>
          <w:szCs w:val="24"/>
          <w:lang w:val="en-GB"/>
        </w:rPr>
        <w:t xml:space="preserve"> slightly not important and slightly important</w:t>
      </w:r>
      <w:r w:rsidR="005841A3">
        <w:rPr>
          <w:rFonts w:asciiTheme="majorBidi" w:hAnsiTheme="majorBidi" w:cstheme="majorBidi"/>
          <w:sz w:val="24"/>
          <w:szCs w:val="24"/>
          <w:lang w:val="en-GB"/>
        </w:rPr>
        <w:t xml:space="preserve"> </w:t>
      </w:r>
      <w:r w:rsidR="00FC24E8">
        <w:rPr>
          <w:rFonts w:asciiTheme="majorBidi" w:hAnsiTheme="majorBidi" w:cstheme="majorBidi"/>
          <w:sz w:val="24"/>
          <w:szCs w:val="24"/>
          <w:lang w:val="en-GB"/>
        </w:rPr>
        <w:t>in</w:t>
      </w:r>
      <w:r w:rsidR="005841A3">
        <w:rPr>
          <w:rFonts w:asciiTheme="majorBidi" w:hAnsiTheme="majorBidi" w:cstheme="majorBidi"/>
          <w:sz w:val="24"/>
          <w:szCs w:val="24"/>
          <w:lang w:val="en-GB"/>
        </w:rPr>
        <w:t xml:space="preserve"> Solutions and AEF</w:t>
      </w:r>
      <w:r w:rsidR="00F74C67">
        <w:rPr>
          <w:rFonts w:asciiTheme="majorBidi" w:hAnsiTheme="majorBidi" w:cstheme="majorBidi"/>
          <w:sz w:val="24"/>
          <w:szCs w:val="24"/>
          <w:lang w:val="en-GB"/>
        </w:rPr>
        <w:t xml:space="preserve">. Item thirteen </w:t>
      </w:r>
      <w:r w:rsidR="00656186">
        <w:rPr>
          <w:rFonts w:asciiTheme="majorBidi" w:hAnsiTheme="majorBidi" w:cstheme="majorBidi"/>
          <w:sz w:val="24"/>
          <w:szCs w:val="24"/>
          <w:lang w:val="en-GB"/>
        </w:rPr>
        <w:t xml:space="preserve">was </w:t>
      </w:r>
      <w:r w:rsidR="005841A3">
        <w:rPr>
          <w:rFonts w:asciiTheme="majorBidi" w:hAnsiTheme="majorBidi" w:cstheme="majorBidi"/>
          <w:sz w:val="24"/>
          <w:szCs w:val="24"/>
          <w:lang w:val="en-GB"/>
        </w:rPr>
        <w:t>seen to be</w:t>
      </w:r>
      <w:r w:rsidR="00656186">
        <w:rPr>
          <w:rFonts w:asciiTheme="majorBidi" w:hAnsiTheme="majorBidi" w:cstheme="majorBidi"/>
          <w:sz w:val="24"/>
          <w:szCs w:val="24"/>
          <w:lang w:val="en-GB"/>
        </w:rPr>
        <w:t xml:space="preserve"> slightly important </w:t>
      </w:r>
      <w:r w:rsidR="005841A3">
        <w:rPr>
          <w:rFonts w:asciiTheme="majorBidi" w:hAnsiTheme="majorBidi" w:cstheme="majorBidi"/>
          <w:sz w:val="24"/>
          <w:szCs w:val="24"/>
          <w:lang w:val="en-GB"/>
        </w:rPr>
        <w:t xml:space="preserve">in Solutions and slightly not important in AEF. Solutions </w:t>
      </w:r>
      <w:r w:rsidR="00BB455A">
        <w:rPr>
          <w:rFonts w:asciiTheme="majorBidi" w:hAnsiTheme="majorBidi" w:cstheme="majorBidi"/>
          <w:sz w:val="24"/>
          <w:szCs w:val="24"/>
          <w:lang w:val="en-GB"/>
        </w:rPr>
        <w:t>just like AEF,</w:t>
      </w:r>
      <w:r w:rsidR="005841A3">
        <w:rPr>
          <w:rFonts w:asciiTheme="majorBidi" w:hAnsiTheme="majorBidi" w:cstheme="majorBidi"/>
          <w:sz w:val="24"/>
          <w:szCs w:val="24"/>
          <w:lang w:val="en-GB"/>
        </w:rPr>
        <w:t xml:space="preserve"> seemed to consider item</w:t>
      </w:r>
      <w:r w:rsidR="00BB455A">
        <w:rPr>
          <w:rFonts w:asciiTheme="majorBidi" w:hAnsiTheme="majorBidi" w:cstheme="majorBidi"/>
          <w:sz w:val="24"/>
          <w:szCs w:val="24"/>
          <w:lang w:val="en-GB"/>
        </w:rPr>
        <w:t xml:space="preserve"> fourteen as slightly important. Item fifteen w</w:t>
      </w:r>
      <w:r w:rsidR="00FC24E8">
        <w:rPr>
          <w:rFonts w:asciiTheme="majorBidi" w:hAnsiTheme="majorBidi" w:cstheme="majorBidi"/>
          <w:sz w:val="24"/>
          <w:szCs w:val="24"/>
          <w:lang w:val="en-GB"/>
        </w:rPr>
        <w:t>as observed slightly important</w:t>
      </w:r>
      <w:r w:rsidR="00BB455A">
        <w:rPr>
          <w:rFonts w:asciiTheme="majorBidi" w:hAnsiTheme="majorBidi" w:cstheme="majorBidi"/>
          <w:sz w:val="24"/>
          <w:szCs w:val="24"/>
          <w:lang w:val="en-GB"/>
        </w:rPr>
        <w:t xml:space="preserve"> in So</w:t>
      </w:r>
      <w:r w:rsidR="00FC24E8">
        <w:rPr>
          <w:rFonts w:asciiTheme="majorBidi" w:hAnsiTheme="majorBidi" w:cstheme="majorBidi"/>
          <w:sz w:val="24"/>
          <w:szCs w:val="24"/>
          <w:lang w:val="en-GB"/>
        </w:rPr>
        <w:t>lutions and somewhat important</w:t>
      </w:r>
      <w:r w:rsidR="00BB455A">
        <w:rPr>
          <w:rFonts w:asciiTheme="majorBidi" w:hAnsiTheme="majorBidi" w:cstheme="majorBidi"/>
          <w:sz w:val="24"/>
          <w:szCs w:val="24"/>
          <w:lang w:val="en-GB"/>
        </w:rPr>
        <w:t xml:space="preserve"> in AEF. Item sixteen was somewhat important in Solutions, whereas the same item was very important in AEF. In both of the books, item seventeen which dealt with </w:t>
      </w:r>
      <w:r w:rsidR="00BB455A">
        <w:rPr>
          <w:rFonts w:asciiTheme="majorBidi" w:hAnsiTheme="majorBidi" w:cstheme="majorBidi"/>
          <w:sz w:val="24"/>
          <w:szCs w:val="24"/>
        </w:rPr>
        <w:t>h</w:t>
      </w:r>
      <w:r w:rsidR="00BB455A" w:rsidRPr="00BB455A">
        <w:rPr>
          <w:rFonts w:asciiTheme="majorBidi" w:hAnsiTheme="majorBidi" w:cstheme="majorBidi"/>
          <w:sz w:val="24"/>
          <w:szCs w:val="24"/>
        </w:rPr>
        <w:t>aving discussions a</w:t>
      </w:r>
      <w:r w:rsidR="00BB455A">
        <w:rPr>
          <w:rFonts w:asciiTheme="majorBidi" w:hAnsiTheme="majorBidi" w:cstheme="majorBidi"/>
          <w:sz w:val="24"/>
          <w:szCs w:val="24"/>
        </w:rPr>
        <w:t xml:space="preserve">bout general topics and current </w:t>
      </w:r>
      <w:r w:rsidR="00BB455A" w:rsidRPr="00BB455A">
        <w:rPr>
          <w:rFonts w:asciiTheme="majorBidi" w:hAnsiTheme="majorBidi" w:cstheme="majorBidi"/>
          <w:sz w:val="24"/>
          <w:szCs w:val="24"/>
        </w:rPr>
        <w:t>events in English with foreign people</w:t>
      </w:r>
      <w:r w:rsidR="00BB455A">
        <w:rPr>
          <w:rFonts w:asciiTheme="majorBidi" w:hAnsiTheme="majorBidi" w:cstheme="majorBidi"/>
          <w:sz w:val="24"/>
          <w:szCs w:val="24"/>
        </w:rPr>
        <w:t xml:space="preserve"> was somewhat significant. </w:t>
      </w:r>
    </w:p>
    <w:p w:rsidR="00383E3E" w:rsidRPr="00407A16" w:rsidRDefault="00BB455A" w:rsidP="00FC24E8">
      <w:pPr>
        <w:jc w:val="both"/>
        <w:rPr>
          <w:rFonts w:asciiTheme="majorBidi" w:hAnsiTheme="majorBidi" w:cstheme="majorBidi"/>
          <w:sz w:val="24"/>
          <w:szCs w:val="24"/>
        </w:rPr>
      </w:pPr>
      <w:r>
        <w:rPr>
          <w:rFonts w:asciiTheme="majorBidi" w:hAnsiTheme="majorBidi" w:cstheme="majorBidi"/>
          <w:sz w:val="24"/>
          <w:szCs w:val="24"/>
        </w:rPr>
        <w:t>Considering item eighteen</w:t>
      </w:r>
      <w:r w:rsidR="00FC24E8">
        <w:rPr>
          <w:rFonts w:asciiTheme="majorBidi" w:hAnsiTheme="majorBidi" w:cstheme="majorBidi"/>
          <w:sz w:val="24"/>
          <w:szCs w:val="24"/>
        </w:rPr>
        <w:t>,</w:t>
      </w:r>
      <w:r>
        <w:rPr>
          <w:rFonts w:asciiTheme="majorBidi" w:hAnsiTheme="majorBidi" w:cstheme="majorBidi"/>
          <w:sz w:val="24"/>
          <w:szCs w:val="24"/>
        </w:rPr>
        <w:t xml:space="preserve"> Solutions was m</w:t>
      </w:r>
      <w:r w:rsidR="00FC24E8">
        <w:rPr>
          <w:rFonts w:asciiTheme="majorBidi" w:hAnsiTheme="majorBidi" w:cstheme="majorBidi"/>
          <w:sz w:val="24"/>
          <w:szCs w:val="24"/>
        </w:rPr>
        <w:t>arked as slightly not important;</w:t>
      </w:r>
      <w:r>
        <w:rPr>
          <w:rFonts w:asciiTheme="majorBidi" w:hAnsiTheme="majorBidi" w:cstheme="majorBidi"/>
          <w:sz w:val="24"/>
          <w:szCs w:val="24"/>
        </w:rPr>
        <w:t xml:space="preserve"> however, in AEF this item was found very significant. Item nineteen</w:t>
      </w:r>
      <w:r w:rsidR="00FC24E8">
        <w:rPr>
          <w:rFonts w:asciiTheme="majorBidi" w:hAnsiTheme="majorBidi" w:cstheme="majorBidi"/>
          <w:sz w:val="24"/>
          <w:szCs w:val="24"/>
        </w:rPr>
        <w:t>,</w:t>
      </w:r>
      <w:r>
        <w:rPr>
          <w:rFonts w:asciiTheme="majorBidi" w:hAnsiTheme="majorBidi" w:cstheme="majorBidi"/>
          <w:sz w:val="24"/>
          <w:szCs w:val="24"/>
        </w:rPr>
        <w:t xml:space="preserve"> concerning </w:t>
      </w:r>
      <w:r>
        <w:rPr>
          <w:rFonts w:asciiTheme="majorBidi" w:hAnsiTheme="majorBidi" w:cstheme="majorBidi"/>
          <w:sz w:val="24"/>
          <w:szCs w:val="24"/>
          <w:lang w:val="en-GB"/>
        </w:rPr>
        <w:t>w</w:t>
      </w:r>
      <w:r w:rsidRPr="00BB455A">
        <w:rPr>
          <w:rFonts w:asciiTheme="majorBidi" w:hAnsiTheme="majorBidi" w:cstheme="majorBidi"/>
          <w:sz w:val="24"/>
          <w:szCs w:val="24"/>
          <w:lang w:val="en-GB"/>
        </w:rPr>
        <w:t>riting in English for university course papers</w:t>
      </w:r>
      <w:r w:rsidR="00FC24E8">
        <w:rPr>
          <w:rFonts w:asciiTheme="majorBidi" w:hAnsiTheme="majorBidi" w:cstheme="majorBidi"/>
          <w:sz w:val="24"/>
          <w:szCs w:val="24"/>
          <w:lang w:val="en-GB"/>
        </w:rPr>
        <w:t>,</w:t>
      </w:r>
      <w:r w:rsidRPr="00BB455A">
        <w:rPr>
          <w:rFonts w:asciiTheme="majorBidi" w:hAnsiTheme="majorBidi" w:cstheme="majorBidi"/>
          <w:sz w:val="24"/>
          <w:szCs w:val="24"/>
          <w:lang w:val="en-GB"/>
        </w:rPr>
        <w:t xml:space="preserve"> </w:t>
      </w:r>
      <w:r>
        <w:rPr>
          <w:rFonts w:asciiTheme="majorBidi" w:hAnsiTheme="majorBidi" w:cstheme="majorBidi"/>
          <w:sz w:val="24"/>
          <w:szCs w:val="24"/>
        </w:rPr>
        <w:t>was somewhat not important in Solutions whereas in AEF</w:t>
      </w:r>
      <w:r w:rsidR="00FC24E8">
        <w:rPr>
          <w:rFonts w:asciiTheme="majorBidi" w:hAnsiTheme="majorBidi" w:cstheme="majorBidi"/>
          <w:sz w:val="24"/>
          <w:szCs w:val="24"/>
        </w:rPr>
        <w:t>,</w:t>
      </w:r>
      <w:r>
        <w:rPr>
          <w:rFonts w:asciiTheme="majorBidi" w:hAnsiTheme="majorBidi" w:cstheme="majorBidi"/>
          <w:sz w:val="24"/>
          <w:szCs w:val="24"/>
        </w:rPr>
        <w:t xml:space="preserve"> it was somewhat important. </w:t>
      </w:r>
      <w:r w:rsidR="00E250F1">
        <w:rPr>
          <w:rFonts w:asciiTheme="majorBidi" w:hAnsiTheme="majorBidi" w:cstheme="majorBidi"/>
          <w:sz w:val="24"/>
          <w:szCs w:val="24"/>
        </w:rPr>
        <w:t>Item twenty which concerned w</w:t>
      </w:r>
      <w:r w:rsidR="00E250F1" w:rsidRPr="00E250F1">
        <w:rPr>
          <w:rFonts w:asciiTheme="majorBidi" w:hAnsiTheme="majorBidi" w:cstheme="majorBidi"/>
          <w:sz w:val="24"/>
          <w:szCs w:val="24"/>
        </w:rPr>
        <w:t>riting business documents in English</w:t>
      </w:r>
      <w:r w:rsidR="00E250F1">
        <w:rPr>
          <w:rFonts w:asciiTheme="majorBidi" w:hAnsiTheme="majorBidi" w:cstheme="majorBidi"/>
          <w:sz w:val="24"/>
          <w:szCs w:val="24"/>
        </w:rPr>
        <w:t xml:space="preserve"> was marked somewhat not important</w:t>
      </w:r>
      <w:r w:rsidR="00FC24E8">
        <w:rPr>
          <w:rFonts w:asciiTheme="majorBidi" w:hAnsiTheme="majorBidi" w:cstheme="majorBidi"/>
          <w:sz w:val="24"/>
          <w:szCs w:val="24"/>
        </w:rPr>
        <w:t xml:space="preserve"> in Solutions;</w:t>
      </w:r>
      <w:r w:rsidR="00E250F1">
        <w:rPr>
          <w:rFonts w:asciiTheme="majorBidi" w:hAnsiTheme="majorBidi" w:cstheme="majorBidi"/>
          <w:sz w:val="24"/>
          <w:szCs w:val="24"/>
        </w:rPr>
        <w:t xml:space="preserve"> similarly</w:t>
      </w:r>
      <w:r w:rsidR="00FC24E8">
        <w:rPr>
          <w:rFonts w:asciiTheme="majorBidi" w:hAnsiTheme="majorBidi" w:cstheme="majorBidi"/>
          <w:sz w:val="24"/>
          <w:szCs w:val="24"/>
        </w:rPr>
        <w:t>,</w:t>
      </w:r>
      <w:r w:rsidR="00E250F1">
        <w:rPr>
          <w:rFonts w:asciiTheme="majorBidi" w:hAnsiTheme="majorBidi" w:cstheme="majorBidi"/>
          <w:sz w:val="24"/>
          <w:szCs w:val="24"/>
        </w:rPr>
        <w:t xml:space="preserve"> in AEF</w:t>
      </w:r>
      <w:r w:rsidR="00FC24E8">
        <w:rPr>
          <w:rFonts w:asciiTheme="majorBidi" w:hAnsiTheme="majorBidi" w:cstheme="majorBidi"/>
          <w:sz w:val="24"/>
          <w:szCs w:val="24"/>
        </w:rPr>
        <w:t>,</w:t>
      </w:r>
      <w:r w:rsidR="00E250F1">
        <w:rPr>
          <w:rFonts w:asciiTheme="majorBidi" w:hAnsiTheme="majorBidi" w:cstheme="majorBidi"/>
          <w:sz w:val="24"/>
          <w:szCs w:val="24"/>
        </w:rPr>
        <w:t xml:space="preserve"> it was considered slightly not important. Item twenty-one was the slightly not important factor in Solutions </w:t>
      </w:r>
      <w:r w:rsidR="00FC24E8">
        <w:rPr>
          <w:rFonts w:asciiTheme="majorBidi" w:hAnsiTheme="majorBidi" w:cstheme="majorBidi"/>
          <w:sz w:val="24"/>
          <w:szCs w:val="24"/>
        </w:rPr>
        <w:t>while</w:t>
      </w:r>
      <w:r w:rsidR="00E250F1">
        <w:rPr>
          <w:rFonts w:asciiTheme="majorBidi" w:hAnsiTheme="majorBidi" w:cstheme="majorBidi"/>
          <w:sz w:val="24"/>
          <w:szCs w:val="24"/>
        </w:rPr>
        <w:t xml:space="preserve"> in AEF</w:t>
      </w:r>
      <w:r w:rsidR="00FC24E8">
        <w:rPr>
          <w:rFonts w:asciiTheme="majorBidi" w:hAnsiTheme="majorBidi" w:cstheme="majorBidi"/>
          <w:sz w:val="24"/>
          <w:szCs w:val="24"/>
        </w:rPr>
        <w:t>,</w:t>
      </w:r>
      <w:r w:rsidR="00E250F1">
        <w:rPr>
          <w:rFonts w:asciiTheme="majorBidi" w:hAnsiTheme="majorBidi" w:cstheme="majorBidi"/>
          <w:sz w:val="24"/>
          <w:szCs w:val="24"/>
        </w:rPr>
        <w:t xml:space="preserve"> it was slightly important. In Solutions</w:t>
      </w:r>
      <w:r w:rsidR="00FC24E8">
        <w:rPr>
          <w:rFonts w:asciiTheme="majorBidi" w:hAnsiTheme="majorBidi" w:cstheme="majorBidi"/>
          <w:sz w:val="24"/>
          <w:szCs w:val="24"/>
        </w:rPr>
        <w:t>,</w:t>
      </w:r>
      <w:r w:rsidR="00E250F1">
        <w:rPr>
          <w:rFonts w:asciiTheme="majorBidi" w:hAnsiTheme="majorBidi" w:cstheme="majorBidi"/>
          <w:sz w:val="24"/>
          <w:szCs w:val="24"/>
        </w:rPr>
        <w:t xml:space="preserve"> item twenty-two proved to be somewhat important </w:t>
      </w:r>
      <w:r w:rsidR="00FC24E8">
        <w:rPr>
          <w:rFonts w:asciiTheme="majorBidi" w:hAnsiTheme="majorBidi" w:cstheme="majorBidi"/>
          <w:sz w:val="24"/>
          <w:szCs w:val="24"/>
        </w:rPr>
        <w:t>but</w:t>
      </w:r>
      <w:r w:rsidR="00E250F1">
        <w:rPr>
          <w:rFonts w:asciiTheme="majorBidi" w:hAnsiTheme="majorBidi" w:cstheme="majorBidi"/>
          <w:sz w:val="24"/>
          <w:szCs w:val="24"/>
        </w:rPr>
        <w:t xml:space="preserve"> slightly important in AEF. Likewise, item twenty-three was s</w:t>
      </w:r>
      <w:r w:rsidR="00407A16">
        <w:rPr>
          <w:rFonts w:asciiTheme="majorBidi" w:hAnsiTheme="majorBidi" w:cstheme="majorBidi"/>
          <w:sz w:val="24"/>
          <w:szCs w:val="24"/>
        </w:rPr>
        <w:t>omewhat significant in Solutions and slightly significant in AEF. Item twenty-four was found to be somewhat important in both books. Ultimately, the last item</w:t>
      </w:r>
      <w:r w:rsidR="00FC24E8">
        <w:rPr>
          <w:rFonts w:asciiTheme="majorBidi" w:hAnsiTheme="majorBidi" w:cstheme="majorBidi"/>
          <w:sz w:val="24"/>
          <w:szCs w:val="24"/>
        </w:rPr>
        <w:t>,</w:t>
      </w:r>
      <w:r w:rsidR="00407A16">
        <w:rPr>
          <w:rFonts w:asciiTheme="majorBidi" w:hAnsiTheme="majorBidi" w:cstheme="majorBidi"/>
          <w:sz w:val="24"/>
          <w:szCs w:val="24"/>
        </w:rPr>
        <w:t xml:space="preserve"> dealing with d</w:t>
      </w:r>
      <w:r w:rsidR="00407A16" w:rsidRPr="00407A16">
        <w:rPr>
          <w:rFonts w:asciiTheme="majorBidi" w:hAnsiTheme="majorBidi" w:cstheme="majorBidi"/>
          <w:sz w:val="24"/>
          <w:szCs w:val="24"/>
        </w:rPr>
        <w:t>oing group research with classmates or co-workers in English</w:t>
      </w:r>
      <w:r w:rsidR="00FC24E8">
        <w:rPr>
          <w:rFonts w:asciiTheme="majorBidi" w:hAnsiTheme="majorBidi" w:cstheme="majorBidi"/>
          <w:sz w:val="24"/>
          <w:szCs w:val="24"/>
        </w:rPr>
        <w:t>,</w:t>
      </w:r>
      <w:r w:rsidR="00407A16">
        <w:rPr>
          <w:rFonts w:asciiTheme="majorBidi" w:hAnsiTheme="majorBidi" w:cstheme="majorBidi"/>
          <w:sz w:val="24"/>
          <w:szCs w:val="24"/>
        </w:rPr>
        <w:t xml:space="preserve"> was marked slightly important in Solutions and somewhat important in AEF. </w:t>
      </w:r>
    </w:p>
    <w:p w:rsidR="00FC24E8" w:rsidRPr="00FC24E8" w:rsidRDefault="00FC24E8" w:rsidP="00FC24E8">
      <w:pPr>
        <w:jc w:val="both"/>
        <w:rPr>
          <w:rFonts w:asciiTheme="majorBidi" w:hAnsiTheme="majorBidi" w:cstheme="majorBidi"/>
          <w:b/>
          <w:bCs/>
          <w:sz w:val="24"/>
          <w:szCs w:val="24"/>
        </w:rPr>
      </w:pPr>
      <w:r>
        <w:rPr>
          <w:rFonts w:asciiTheme="majorBidi" w:hAnsiTheme="majorBidi" w:cstheme="majorBidi"/>
          <w:b/>
          <w:bCs/>
          <w:sz w:val="24"/>
          <w:szCs w:val="24"/>
        </w:rPr>
        <w:t>Conclusions</w:t>
      </w:r>
    </w:p>
    <w:p w:rsidR="00407A16" w:rsidRDefault="00FC24E8" w:rsidP="00FC24E8">
      <w:pPr>
        <w:jc w:val="both"/>
        <w:rPr>
          <w:rFonts w:asciiTheme="majorBidi" w:hAnsiTheme="majorBidi" w:cstheme="majorBidi"/>
          <w:sz w:val="24"/>
          <w:szCs w:val="24"/>
        </w:rPr>
      </w:pPr>
      <w:r>
        <w:rPr>
          <w:rFonts w:asciiTheme="majorBidi" w:hAnsiTheme="majorBidi" w:cstheme="majorBidi"/>
          <w:sz w:val="24"/>
          <w:szCs w:val="24"/>
        </w:rPr>
        <w:t xml:space="preserve">The study attempted to see whether the upper-intermediate level of the two ELT textbooks, Solutions and American English File, could meet the real-life needs perceived by the EFL learners. </w:t>
      </w:r>
      <w:r w:rsidR="00200B47">
        <w:rPr>
          <w:rFonts w:asciiTheme="majorBidi" w:hAnsiTheme="majorBidi" w:cstheme="majorBidi"/>
          <w:sz w:val="24"/>
          <w:szCs w:val="24"/>
        </w:rPr>
        <w:lastRenderedPageBreak/>
        <w:t>According to the age range and education level of the participants and the fact that these participants were from different classes of the society, the items that got a mean of 5 and above could be considered common need</w:t>
      </w:r>
      <w:r>
        <w:rPr>
          <w:rFonts w:asciiTheme="majorBidi" w:hAnsiTheme="majorBidi" w:cstheme="majorBidi"/>
          <w:sz w:val="24"/>
          <w:szCs w:val="24"/>
        </w:rPr>
        <w:t>s</w:t>
      </w:r>
      <w:r w:rsidR="00200B47">
        <w:rPr>
          <w:rFonts w:asciiTheme="majorBidi" w:hAnsiTheme="majorBidi" w:cstheme="majorBidi"/>
          <w:sz w:val="24"/>
          <w:szCs w:val="24"/>
        </w:rPr>
        <w:t xml:space="preserve"> among people from different classes in the society. </w:t>
      </w:r>
      <w:r w:rsidR="00037F49">
        <w:rPr>
          <w:rFonts w:asciiTheme="majorBidi" w:hAnsiTheme="majorBidi" w:cstheme="majorBidi"/>
          <w:sz w:val="24"/>
          <w:szCs w:val="24"/>
        </w:rPr>
        <w:t>Moreover, since both</w:t>
      </w:r>
      <w:r w:rsidR="00CC5164">
        <w:rPr>
          <w:rFonts w:asciiTheme="majorBidi" w:hAnsiTheme="majorBidi" w:cstheme="majorBidi"/>
          <w:sz w:val="24"/>
          <w:szCs w:val="24"/>
        </w:rPr>
        <w:t xml:space="preserve"> of the books </w:t>
      </w:r>
      <w:r>
        <w:rPr>
          <w:rFonts w:asciiTheme="majorBidi" w:hAnsiTheme="majorBidi" w:cstheme="majorBidi"/>
          <w:sz w:val="24"/>
          <w:szCs w:val="24"/>
        </w:rPr>
        <w:t>were</w:t>
      </w:r>
      <w:r w:rsidR="00CC5164">
        <w:rPr>
          <w:rFonts w:asciiTheme="majorBidi" w:hAnsiTheme="majorBidi" w:cstheme="majorBidi"/>
          <w:sz w:val="24"/>
          <w:szCs w:val="24"/>
        </w:rPr>
        <w:t xml:space="preserve"> published by O</w:t>
      </w:r>
      <w:r w:rsidR="00037F49">
        <w:rPr>
          <w:rFonts w:asciiTheme="majorBidi" w:hAnsiTheme="majorBidi" w:cstheme="majorBidi"/>
          <w:sz w:val="24"/>
          <w:szCs w:val="24"/>
        </w:rPr>
        <w:t xml:space="preserve">xford university press and AEF series </w:t>
      </w:r>
      <w:r>
        <w:rPr>
          <w:rFonts w:asciiTheme="majorBidi" w:hAnsiTheme="majorBidi" w:cstheme="majorBidi"/>
          <w:sz w:val="24"/>
          <w:szCs w:val="24"/>
        </w:rPr>
        <w:t>was</w:t>
      </w:r>
      <w:r w:rsidR="00037F49">
        <w:rPr>
          <w:rFonts w:asciiTheme="majorBidi" w:hAnsiTheme="majorBidi" w:cstheme="majorBidi"/>
          <w:sz w:val="24"/>
          <w:szCs w:val="24"/>
        </w:rPr>
        <w:t xml:space="preserve"> rather new compared with Solutions, the items which got 5 and above in b</w:t>
      </w:r>
      <w:r>
        <w:rPr>
          <w:rFonts w:asciiTheme="majorBidi" w:hAnsiTheme="majorBidi" w:cstheme="majorBidi"/>
          <w:sz w:val="24"/>
          <w:szCs w:val="24"/>
        </w:rPr>
        <w:t>oth books could be inferred as</w:t>
      </w:r>
      <w:r w:rsidR="00037F49">
        <w:rPr>
          <w:rFonts w:asciiTheme="majorBidi" w:hAnsiTheme="majorBidi" w:cstheme="majorBidi"/>
          <w:sz w:val="24"/>
          <w:szCs w:val="24"/>
        </w:rPr>
        <w:t xml:space="preserve"> sol</w:t>
      </w:r>
      <w:r w:rsidR="00BD4CF9">
        <w:rPr>
          <w:rFonts w:asciiTheme="majorBidi" w:hAnsiTheme="majorBidi" w:cstheme="majorBidi"/>
          <w:sz w:val="24"/>
          <w:szCs w:val="24"/>
        </w:rPr>
        <w:t>id need</w:t>
      </w:r>
      <w:r>
        <w:rPr>
          <w:rFonts w:asciiTheme="majorBidi" w:hAnsiTheme="majorBidi" w:cstheme="majorBidi"/>
          <w:sz w:val="24"/>
          <w:szCs w:val="24"/>
        </w:rPr>
        <w:t>s</w:t>
      </w:r>
      <w:r w:rsidR="00BD4CF9">
        <w:rPr>
          <w:rFonts w:asciiTheme="majorBidi" w:hAnsiTheme="majorBidi" w:cstheme="majorBidi"/>
          <w:sz w:val="24"/>
          <w:szCs w:val="24"/>
        </w:rPr>
        <w:t xml:space="preserve"> in the passage of time because these books </w:t>
      </w:r>
      <w:r>
        <w:rPr>
          <w:rFonts w:asciiTheme="majorBidi" w:hAnsiTheme="majorBidi" w:cstheme="majorBidi"/>
          <w:sz w:val="24"/>
          <w:szCs w:val="24"/>
        </w:rPr>
        <w:t>were</w:t>
      </w:r>
      <w:r w:rsidR="00BD4CF9">
        <w:rPr>
          <w:rFonts w:asciiTheme="majorBidi" w:hAnsiTheme="majorBidi" w:cstheme="majorBidi"/>
          <w:sz w:val="24"/>
          <w:szCs w:val="24"/>
        </w:rPr>
        <w:t xml:space="preserve"> designed in accord with the results yielded from standardized tests like IELTS and TOFEL. Besides, the items that gained a higher value in older books and lower value in newer ones imply that these needs have been eliminated. </w:t>
      </w:r>
      <w:r w:rsidR="00FE79D1">
        <w:rPr>
          <w:rFonts w:asciiTheme="majorBidi" w:hAnsiTheme="majorBidi" w:cstheme="majorBidi"/>
          <w:sz w:val="24"/>
          <w:szCs w:val="24"/>
        </w:rPr>
        <w:t xml:space="preserve">Furthermore, the items which got lower values in older books and higher in newer ones, are for the most part newly spawned needs. </w:t>
      </w:r>
    </w:p>
    <w:p w:rsidR="00407A16" w:rsidRPr="00FC24E8" w:rsidRDefault="00FC24E8" w:rsidP="00407A16">
      <w:pPr>
        <w:jc w:val="both"/>
        <w:rPr>
          <w:rFonts w:asciiTheme="majorBidi" w:hAnsiTheme="majorBidi" w:cstheme="majorBidi"/>
          <w:b/>
          <w:bCs/>
          <w:sz w:val="24"/>
          <w:szCs w:val="24"/>
        </w:rPr>
      </w:pPr>
      <w:r>
        <w:rPr>
          <w:rFonts w:asciiTheme="majorBidi" w:hAnsiTheme="majorBidi" w:cstheme="majorBidi"/>
          <w:b/>
          <w:bCs/>
          <w:sz w:val="24"/>
          <w:szCs w:val="24"/>
        </w:rPr>
        <w:t>References</w:t>
      </w:r>
    </w:p>
    <w:p w:rsidR="00407A16" w:rsidRPr="00067770" w:rsidRDefault="00067770" w:rsidP="00C713C3">
      <w:pPr>
        <w:ind w:left="720" w:hanging="720"/>
        <w:jc w:val="both"/>
        <w:rPr>
          <w:rFonts w:asciiTheme="majorBidi" w:hAnsiTheme="majorBidi" w:cstheme="majorBidi"/>
          <w:sz w:val="24"/>
          <w:szCs w:val="24"/>
        </w:rPr>
      </w:pPr>
      <w:proofErr w:type="spellStart"/>
      <w:r w:rsidRPr="00067770">
        <w:rPr>
          <w:rFonts w:asciiTheme="majorBidi" w:hAnsiTheme="majorBidi" w:cstheme="majorBidi"/>
          <w:sz w:val="24"/>
          <w:szCs w:val="24"/>
        </w:rPr>
        <w:t>Ahmadisafa</w:t>
      </w:r>
      <w:proofErr w:type="spellEnd"/>
      <w:r w:rsidRPr="00067770">
        <w:rPr>
          <w:rFonts w:asciiTheme="majorBidi" w:hAnsiTheme="majorBidi" w:cstheme="majorBidi"/>
          <w:sz w:val="24"/>
          <w:szCs w:val="24"/>
        </w:rPr>
        <w:t xml:space="preserve">, M., </w:t>
      </w:r>
      <w:proofErr w:type="spellStart"/>
      <w:r w:rsidRPr="00067770">
        <w:rPr>
          <w:rFonts w:asciiTheme="majorBidi" w:hAnsiTheme="majorBidi" w:cstheme="majorBidi"/>
          <w:sz w:val="24"/>
          <w:szCs w:val="24"/>
        </w:rPr>
        <w:t>Moradi</w:t>
      </w:r>
      <w:proofErr w:type="spellEnd"/>
      <w:r w:rsidRPr="00067770">
        <w:rPr>
          <w:rFonts w:asciiTheme="majorBidi" w:hAnsiTheme="majorBidi" w:cstheme="majorBidi"/>
          <w:sz w:val="24"/>
          <w:szCs w:val="24"/>
        </w:rPr>
        <w:t xml:space="preserve">, M., &amp; </w:t>
      </w:r>
      <w:proofErr w:type="spellStart"/>
      <w:r w:rsidRPr="00067770">
        <w:rPr>
          <w:rFonts w:asciiTheme="majorBidi" w:hAnsiTheme="majorBidi" w:cstheme="majorBidi"/>
          <w:sz w:val="24"/>
          <w:szCs w:val="24"/>
        </w:rPr>
        <w:t>Hamzavi</w:t>
      </w:r>
      <w:proofErr w:type="spellEnd"/>
      <w:r w:rsidRPr="00067770">
        <w:rPr>
          <w:rFonts w:asciiTheme="majorBidi" w:hAnsiTheme="majorBidi" w:cstheme="majorBidi"/>
          <w:sz w:val="24"/>
          <w:szCs w:val="24"/>
        </w:rPr>
        <w:t xml:space="preserve">, R. (2015). "Iranian EFL Teachers and Learners Perspective on Potentiality of Top Notch Series for Intercultural Competence Development". </w:t>
      </w:r>
      <w:r w:rsidRPr="00067770">
        <w:rPr>
          <w:rFonts w:asciiTheme="majorBidi" w:hAnsiTheme="majorBidi" w:cstheme="majorBidi"/>
          <w:i/>
          <w:iCs/>
          <w:sz w:val="24"/>
          <w:szCs w:val="24"/>
        </w:rPr>
        <w:t>Iranian Journal of Language Teaching Research, 3</w:t>
      </w:r>
      <w:r w:rsidRPr="00067770">
        <w:rPr>
          <w:rFonts w:asciiTheme="majorBidi" w:hAnsiTheme="majorBidi" w:cstheme="majorBidi"/>
          <w:sz w:val="24"/>
          <w:szCs w:val="24"/>
        </w:rPr>
        <w:t>(2), 47-66.</w:t>
      </w:r>
    </w:p>
    <w:p w:rsidR="00067770" w:rsidRPr="00067770" w:rsidRDefault="00067770" w:rsidP="00C713C3">
      <w:pPr>
        <w:ind w:left="720" w:hanging="720"/>
        <w:jc w:val="both"/>
        <w:rPr>
          <w:rFonts w:asciiTheme="majorBidi" w:hAnsiTheme="majorBidi" w:cstheme="majorBidi"/>
          <w:sz w:val="24"/>
          <w:szCs w:val="24"/>
        </w:rPr>
      </w:pPr>
      <w:r w:rsidRPr="00067770">
        <w:rPr>
          <w:rFonts w:asciiTheme="majorBidi" w:hAnsiTheme="majorBidi" w:cstheme="majorBidi"/>
          <w:sz w:val="24"/>
          <w:szCs w:val="24"/>
        </w:rPr>
        <w:t xml:space="preserve">Ansari, H., &amp; </w:t>
      </w:r>
      <w:proofErr w:type="spellStart"/>
      <w:r w:rsidRPr="00067770">
        <w:rPr>
          <w:rFonts w:asciiTheme="majorBidi" w:hAnsiTheme="majorBidi" w:cstheme="majorBidi"/>
          <w:sz w:val="24"/>
          <w:szCs w:val="24"/>
        </w:rPr>
        <w:t>Babaii</w:t>
      </w:r>
      <w:proofErr w:type="spellEnd"/>
      <w:r w:rsidRPr="00067770">
        <w:rPr>
          <w:rFonts w:asciiTheme="majorBidi" w:hAnsiTheme="majorBidi" w:cstheme="majorBidi"/>
          <w:sz w:val="24"/>
          <w:szCs w:val="24"/>
        </w:rPr>
        <w:t xml:space="preserve">, E. (2002). Universal characteristics of EFL/ESL textbook: a step towards systematic textbook evaluation. </w:t>
      </w:r>
      <w:r w:rsidRPr="00067770">
        <w:rPr>
          <w:rFonts w:asciiTheme="majorBidi" w:hAnsiTheme="majorBidi" w:cstheme="majorBidi"/>
          <w:i/>
          <w:iCs/>
          <w:sz w:val="24"/>
          <w:szCs w:val="24"/>
        </w:rPr>
        <w:t>The Internet TESL Journal, 2</w:t>
      </w:r>
      <w:r w:rsidRPr="00067770">
        <w:rPr>
          <w:rFonts w:asciiTheme="majorBidi" w:hAnsiTheme="majorBidi" w:cstheme="majorBidi"/>
          <w:sz w:val="24"/>
          <w:szCs w:val="24"/>
        </w:rPr>
        <w:t>, 1-8.</w:t>
      </w:r>
    </w:p>
    <w:p w:rsidR="00067770" w:rsidRPr="00067770" w:rsidRDefault="00067770" w:rsidP="00C713C3">
      <w:pPr>
        <w:ind w:left="720" w:hanging="720"/>
        <w:jc w:val="both"/>
        <w:rPr>
          <w:rFonts w:asciiTheme="majorBidi" w:hAnsiTheme="majorBidi" w:cstheme="majorBidi"/>
          <w:sz w:val="24"/>
          <w:szCs w:val="24"/>
        </w:rPr>
      </w:pPr>
      <w:r w:rsidRPr="00067770">
        <w:rPr>
          <w:rFonts w:asciiTheme="majorBidi" w:hAnsiTheme="majorBidi" w:cstheme="majorBidi"/>
          <w:sz w:val="24"/>
          <w:szCs w:val="24"/>
        </w:rPr>
        <w:t xml:space="preserve">Byrd, P. (2001). Textbooks: evaluation for selection and analysis for implementation. </w:t>
      </w:r>
      <w:r w:rsidRPr="00067770">
        <w:rPr>
          <w:rFonts w:asciiTheme="majorBidi" w:hAnsiTheme="majorBidi" w:cstheme="majorBidi"/>
          <w:i/>
          <w:iCs/>
          <w:sz w:val="24"/>
          <w:szCs w:val="24"/>
        </w:rPr>
        <w:t xml:space="preserve">Teaching English as a Second or Foreign Language, 3, </w:t>
      </w:r>
      <w:r w:rsidRPr="00067770">
        <w:rPr>
          <w:rFonts w:asciiTheme="majorBidi" w:hAnsiTheme="majorBidi" w:cstheme="majorBidi"/>
          <w:sz w:val="24"/>
          <w:szCs w:val="24"/>
        </w:rPr>
        <w:t>415-427.</w:t>
      </w:r>
    </w:p>
    <w:p w:rsidR="00067770" w:rsidRPr="00067770" w:rsidRDefault="00067770" w:rsidP="00C713C3">
      <w:pPr>
        <w:ind w:left="720" w:hanging="720"/>
        <w:jc w:val="both"/>
        <w:rPr>
          <w:rFonts w:asciiTheme="majorBidi" w:hAnsiTheme="majorBidi" w:cstheme="majorBidi"/>
          <w:sz w:val="24"/>
          <w:szCs w:val="24"/>
        </w:rPr>
      </w:pPr>
      <w:proofErr w:type="spellStart"/>
      <w:r w:rsidRPr="00067770">
        <w:rPr>
          <w:rFonts w:asciiTheme="majorBidi" w:hAnsiTheme="majorBidi" w:cstheme="majorBidi"/>
          <w:sz w:val="24"/>
          <w:szCs w:val="24"/>
        </w:rPr>
        <w:t>Cunningsworth</w:t>
      </w:r>
      <w:proofErr w:type="spellEnd"/>
      <w:r w:rsidRPr="00067770">
        <w:rPr>
          <w:rFonts w:asciiTheme="majorBidi" w:hAnsiTheme="majorBidi" w:cstheme="majorBidi"/>
          <w:sz w:val="24"/>
          <w:szCs w:val="24"/>
        </w:rPr>
        <w:t xml:space="preserve">, A. (1995). </w:t>
      </w:r>
      <w:r w:rsidRPr="00067770">
        <w:rPr>
          <w:rFonts w:asciiTheme="majorBidi" w:hAnsiTheme="majorBidi" w:cstheme="majorBidi"/>
          <w:i/>
          <w:iCs/>
          <w:sz w:val="24"/>
          <w:szCs w:val="24"/>
        </w:rPr>
        <w:t>Choosing your coursebook</w:t>
      </w:r>
      <w:r w:rsidRPr="00067770">
        <w:rPr>
          <w:rFonts w:asciiTheme="majorBidi" w:hAnsiTheme="majorBidi" w:cstheme="majorBidi"/>
          <w:sz w:val="24"/>
          <w:szCs w:val="24"/>
        </w:rPr>
        <w:t xml:space="preserve">. </w:t>
      </w:r>
      <w:proofErr w:type="spellStart"/>
      <w:r w:rsidRPr="00067770">
        <w:rPr>
          <w:rFonts w:asciiTheme="majorBidi" w:hAnsiTheme="majorBidi" w:cstheme="majorBidi"/>
          <w:sz w:val="24"/>
          <w:szCs w:val="24"/>
        </w:rPr>
        <w:t>Heinmann</w:t>
      </w:r>
      <w:proofErr w:type="spellEnd"/>
      <w:r w:rsidRPr="00067770">
        <w:rPr>
          <w:rFonts w:asciiTheme="majorBidi" w:hAnsiTheme="majorBidi" w:cstheme="majorBidi"/>
          <w:sz w:val="24"/>
          <w:szCs w:val="24"/>
        </w:rPr>
        <w:t xml:space="preserve"> Publishers Ltd.</w:t>
      </w:r>
    </w:p>
    <w:p w:rsidR="00067770" w:rsidRDefault="00067770" w:rsidP="00C713C3">
      <w:pPr>
        <w:ind w:left="720" w:hanging="720"/>
        <w:jc w:val="both"/>
        <w:rPr>
          <w:rFonts w:asciiTheme="majorBidi" w:hAnsiTheme="majorBidi" w:cstheme="majorBidi"/>
          <w:sz w:val="24"/>
          <w:szCs w:val="24"/>
        </w:rPr>
      </w:pPr>
      <w:r w:rsidRPr="00067770">
        <w:rPr>
          <w:rFonts w:asciiTheme="majorBidi" w:hAnsiTheme="majorBidi" w:cstheme="majorBidi"/>
          <w:sz w:val="24"/>
          <w:szCs w:val="24"/>
        </w:rPr>
        <w:t>Dominguez, L. M. (2004). Gender textbook evaluation [Unpublished Master’s Thesis]. University of Birmingham, United Kingdom.</w:t>
      </w:r>
    </w:p>
    <w:p w:rsidR="00067770" w:rsidRDefault="00067770" w:rsidP="00C713C3">
      <w:pPr>
        <w:ind w:left="720" w:hanging="720"/>
        <w:jc w:val="both"/>
        <w:rPr>
          <w:rFonts w:asciiTheme="majorBidi" w:hAnsiTheme="majorBidi" w:cstheme="majorBidi"/>
          <w:sz w:val="24"/>
          <w:szCs w:val="24"/>
        </w:rPr>
      </w:pPr>
      <w:r w:rsidRPr="00067770">
        <w:rPr>
          <w:rFonts w:asciiTheme="majorBidi" w:hAnsiTheme="majorBidi" w:cstheme="majorBidi"/>
          <w:sz w:val="24"/>
          <w:szCs w:val="24"/>
        </w:rPr>
        <w:t xml:space="preserve">Hutchinson, T, &amp; Waters, A. (1993). </w:t>
      </w:r>
      <w:r w:rsidRPr="00067770">
        <w:rPr>
          <w:rFonts w:asciiTheme="majorBidi" w:hAnsiTheme="majorBidi" w:cstheme="majorBidi"/>
          <w:i/>
          <w:iCs/>
          <w:sz w:val="24"/>
          <w:szCs w:val="24"/>
        </w:rPr>
        <w:t xml:space="preserve">English for specific purposes: A </w:t>
      </w:r>
      <w:proofErr w:type="spellStart"/>
      <w:r w:rsidRPr="00067770">
        <w:rPr>
          <w:rFonts w:asciiTheme="majorBidi" w:hAnsiTheme="majorBidi" w:cstheme="majorBidi"/>
          <w:i/>
          <w:iCs/>
          <w:sz w:val="24"/>
          <w:szCs w:val="24"/>
        </w:rPr>
        <w:t>leaningbased</w:t>
      </w:r>
      <w:proofErr w:type="spellEnd"/>
      <w:r w:rsidRPr="00067770">
        <w:rPr>
          <w:rFonts w:asciiTheme="majorBidi" w:hAnsiTheme="majorBidi" w:cstheme="majorBidi"/>
          <w:i/>
          <w:iCs/>
          <w:sz w:val="24"/>
          <w:szCs w:val="24"/>
        </w:rPr>
        <w:t xml:space="preserve"> approach.</w:t>
      </w:r>
      <w:r w:rsidRPr="00067770">
        <w:rPr>
          <w:rFonts w:asciiTheme="majorBidi" w:hAnsiTheme="majorBidi" w:cstheme="majorBidi"/>
          <w:sz w:val="24"/>
          <w:szCs w:val="24"/>
        </w:rPr>
        <w:t xml:space="preserve"> Cambridge University Press.</w:t>
      </w:r>
    </w:p>
    <w:p w:rsidR="00C713C3" w:rsidRPr="00C713C3" w:rsidRDefault="00C713C3" w:rsidP="00C713C3">
      <w:pPr>
        <w:ind w:left="720" w:hanging="720"/>
        <w:jc w:val="both"/>
        <w:rPr>
          <w:rFonts w:asciiTheme="majorBidi" w:hAnsiTheme="majorBidi" w:cstheme="majorBidi"/>
          <w:sz w:val="24"/>
          <w:szCs w:val="24"/>
        </w:rPr>
      </w:pPr>
      <w:proofErr w:type="spellStart"/>
      <w:r w:rsidRPr="00C713C3">
        <w:rPr>
          <w:rFonts w:asciiTheme="majorBidi" w:hAnsiTheme="majorBidi" w:cstheme="majorBidi"/>
          <w:sz w:val="24"/>
          <w:szCs w:val="24"/>
        </w:rPr>
        <w:t>Iraji</w:t>
      </w:r>
      <w:proofErr w:type="spellEnd"/>
      <w:r w:rsidRPr="00C713C3">
        <w:rPr>
          <w:rFonts w:asciiTheme="majorBidi" w:hAnsiTheme="majorBidi" w:cstheme="majorBidi"/>
          <w:sz w:val="24"/>
          <w:szCs w:val="24"/>
        </w:rPr>
        <w:t>, A. (2007). Pragmatic features of the New Interchange: How communicative and task-based is it? [Unpublished Master’s Thesis]. Shiraz University, Iran.</w:t>
      </w:r>
    </w:p>
    <w:p w:rsidR="00C713C3" w:rsidRDefault="00C713C3" w:rsidP="00C713C3">
      <w:pPr>
        <w:ind w:left="720" w:hanging="720"/>
        <w:jc w:val="both"/>
        <w:rPr>
          <w:rFonts w:asciiTheme="majorBidi" w:hAnsiTheme="majorBidi" w:cstheme="majorBidi"/>
          <w:sz w:val="24"/>
          <w:szCs w:val="24"/>
        </w:rPr>
      </w:pPr>
      <w:r w:rsidRPr="00C713C3">
        <w:rPr>
          <w:rFonts w:asciiTheme="majorBidi" w:hAnsiTheme="majorBidi" w:cstheme="majorBidi"/>
          <w:sz w:val="24"/>
          <w:szCs w:val="24"/>
        </w:rPr>
        <w:t xml:space="preserve">McDonough, J., &amp; Shaw, C. (2003). </w:t>
      </w:r>
      <w:r w:rsidRPr="00C713C3">
        <w:rPr>
          <w:rFonts w:asciiTheme="majorBidi" w:hAnsiTheme="majorBidi" w:cstheme="majorBidi"/>
          <w:i/>
          <w:iCs/>
          <w:sz w:val="24"/>
          <w:szCs w:val="24"/>
        </w:rPr>
        <w:t>Materials and methods in ELT: A teacher’s guide</w:t>
      </w:r>
      <w:r w:rsidRPr="00C713C3">
        <w:rPr>
          <w:rFonts w:asciiTheme="majorBidi" w:hAnsiTheme="majorBidi" w:cstheme="majorBidi"/>
          <w:sz w:val="24"/>
          <w:szCs w:val="24"/>
        </w:rPr>
        <w:t xml:space="preserve"> (2nd ed.). Blackwell Publishing.</w:t>
      </w:r>
    </w:p>
    <w:p w:rsidR="00C713C3" w:rsidRDefault="00C713C3" w:rsidP="00C713C3">
      <w:pPr>
        <w:ind w:left="720" w:hanging="720"/>
        <w:jc w:val="both"/>
        <w:rPr>
          <w:rFonts w:asciiTheme="majorBidi" w:hAnsiTheme="majorBidi" w:cstheme="majorBidi"/>
          <w:sz w:val="24"/>
          <w:szCs w:val="24"/>
        </w:rPr>
      </w:pPr>
      <w:proofErr w:type="spellStart"/>
      <w:r w:rsidRPr="00C713C3">
        <w:rPr>
          <w:rFonts w:asciiTheme="majorBidi" w:hAnsiTheme="majorBidi" w:cstheme="majorBidi"/>
          <w:sz w:val="24"/>
          <w:szCs w:val="24"/>
        </w:rPr>
        <w:t>Mirzaei</w:t>
      </w:r>
      <w:proofErr w:type="spellEnd"/>
      <w:r w:rsidRPr="00C713C3">
        <w:rPr>
          <w:rFonts w:asciiTheme="majorBidi" w:hAnsiTheme="majorBidi" w:cstheme="majorBidi"/>
          <w:sz w:val="24"/>
          <w:szCs w:val="24"/>
        </w:rPr>
        <w:t xml:space="preserve">, N, &amp; </w:t>
      </w:r>
      <w:proofErr w:type="spellStart"/>
      <w:r w:rsidRPr="00C713C3">
        <w:rPr>
          <w:rFonts w:asciiTheme="majorBidi" w:hAnsiTheme="majorBidi" w:cstheme="majorBidi"/>
          <w:sz w:val="24"/>
          <w:szCs w:val="24"/>
        </w:rPr>
        <w:t>Tabatabaei</w:t>
      </w:r>
      <w:proofErr w:type="spellEnd"/>
      <w:r w:rsidRPr="00C713C3">
        <w:rPr>
          <w:rFonts w:asciiTheme="majorBidi" w:hAnsiTheme="majorBidi" w:cstheme="majorBidi"/>
          <w:sz w:val="24"/>
          <w:szCs w:val="24"/>
        </w:rPr>
        <w:t xml:space="preserve">, O. (2017). Textbook analysis: comparing the recent and the old first grade high school English textbooks, teachers and learners’ perspectives in focus. </w:t>
      </w:r>
      <w:r w:rsidRPr="00C713C3">
        <w:rPr>
          <w:rFonts w:asciiTheme="majorBidi" w:hAnsiTheme="majorBidi" w:cstheme="majorBidi"/>
          <w:i/>
          <w:iCs/>
          <w:sz w:val="24"/>
          <w:szCs w:val="24"/>
        </w:rPr>
        <w:t>Research in English Language Pedagogy</w:t>
      </w:r>
      <w:r w:rsidRPr="00C713C3">
        <w:rPr>
          <w:rFonts w:asciiTheme="majorBidi" w:hAnsiTheme="majorBidi" w:cstheme="majorBidi"/>
          <w:sz w:val="24"/>
          <w:szCs w:val="24"/>
        </w:rPr>
        <w:t>, 5(2), 167-180</w:t>
      </w:r>
    </w:p>
    <w:p w:rsidR="00C713C3" w:rsidRDefault="00C713C3" w:rsidP="00380A95">
      <w:pPr>
        <w:ind w:left="720" w:hanging="720"/>
        <w:jc w:val="both"/>
        <w:rPr>
          <w:rFonts w:asciiTheme="majorBidi" w:hAnsiTheme="majorBidi" w:cstheme="majorBidi"/>
          <w:sz w:val="24"/>
          <w:szCs w:val="24"/>
        </w:rPr>
      </w:pPr>
      <w:proofErr w:type="spellStart"/>
      <w:r w:rsidRPr="00C713C3">
        <w:rPr>
          <w:rFonts w:asciiTheme="majorBidi" w:hAnsiTheme="majorBidi" w:cstheme="majorBidi"/>
          <w:sz w:val="24"/>
          <w:szCs w:val="24"/>
        </w:rPr>
        <w:t>Ranalli</w:t>
      </w:r>
      <w:proofErr w:type="spellEnd"/>
      <w:r w:rsidRPr="00C713C3">
        <w:rPr>
          <w:rFonts w:asciiTheme="majorBidi" w:hAnsiTheme="majorBidi" w:cstheme="majorBidi"/>
          <w:sz w:val="24"/>
          <w:szCs w:val="24"/>
        </w:rPr>
        <w:t>, J. C. (2002). An evaluation of New Headway upper-intermediate.</w:t>
      </w:r>
      <w:r w:rsidR="00380A95">
        <w:rPr>
          <w:rFonts w:asciiTheme="majorBidi" w:hAnsiTheme="majorBidi" w:cstheme="majorBidi"/>
          <w:sz w:val="24"/>
          <w:szCs w:val="24"/>
        </w:rPr>
        <w:t xml:space="preserve"> </w:t>
      </w:r>
      <w:r w:rsidRPr="00C713C3">
        <w:rPr>
          <w:rFonts w:asciiTheme="majorBidi" w:hAnsiTheme="majorBidi" w:cstheme="majorBidi"/>
          <w:sz w:val="24"/>
          <w:szCs w:val="24"/>
        </w:rPr>
        <w:t>Retrieved from</w:t>
      </w:r>
      <w:r w:rsidR="00380A95">
        <w:rPr>
          <w:rFonts w:asciiTheme="majorBidi" w:hAnsiTheme="majorBidi" w:cstheme="majorBidi"/>
          <w:sz w:val="24"/>
          <w:szCs w:val="24"/>
        </w:rPr>
        <w:t xml:space="preserve"> </w:t>
      </w:r>
      <w:r w:rsidRPr="00C713C3">
        <w:rPr>
          <w:rFonts w:asciiTheme="majorBidi" w:hAnsiTheme="majorBidi" w:cstheme="majorBidi"/>
          <w:sz w:val="24"/>
          <w:szCs w:val="24"/>
        </w:rPr>
        <w:t>http://www.cels.bham.ac.uk/resources/essays/Ranalli3.pdf., September, 2018.</w:t>
      </w:r>
    </w:p>
    <w:p w:rsidR="00C713C3" w:rsidRDefault="00C713C3" w:rsidP="00C713C3">
      <w:pPr>
        <w:ind w:left="720" w:hanging="720"/>
        <w:jc w:val="both"/>
        <w:rPr>
          <w:rFonts w:asciiTheme="majorBidi" w:hAnsiTheme="majorBidi" w:cstheme="majorBidi"/>
          <w:sz w:val="24"/>
          <w:szCs w:val="24"/>
        </w:rPr>
      </w:pPr>
      <w:r w:rsidRPr="00C713C3">
        <w:rPr>
          <w:rFonts w:asciiTheme="majorBidi" w:hAnsiTheme="majorBidi" w:cstheme="majorBidi"/>
          <w:sz w:val="24"/>
          <w:szCs w:val="24"/>
        </w:rPr>
        <w:t xml:space="preserve">Sheldon, L. E. (1988). Evaluating ELT textbooks and materials. </w:t>
      </w:r>
      <w:r w:rsidRPr="00C713C3">
        <w:rPr>
          <w:rFonts w:asciiTheme="majorBidi" w:hAnsiTheme="majorBidi" w:cstheme="majorBidi"/>
          <w:i/>
          <w:iCs/>
          <w:sz w:val="24"/>
          <w:szCs w:val="24"/>
        </w:rPr>
        <w:t>ELT Journal,</w:t>
      </w:r>
      <w:r w:rsidRPr="00C713C3">
        <w:rPr>
          <w:rFonts w:asciiTheme="majorBidi" w:hAnsiTheme="majorBidi" w:cstheme="majorBidi"/>
          <w:sz w:val="24"/>
          <w:szCs w:val="24"/>
        </w:rPr>
        <w:t xml:space="preserve"> 42(4), 237-246.</w:t>
      </w:r>
    </w:p>
    <w:p w:rsidR="00C713C3" w:rsidRDefault="00C713C3" w:rsidP="00C713C3">
      <w:pPr>
        <w:ind w:left="720" w:hanging="720"/>
        <w:jc w:val="both"/>
        <w:rPr>
          <w:rFonts w:asciiTheme="majorBidi" w:hAnsiTheme="majorBidi" w:cstheme="majorBidi"/>
          <w:sz w:val="24"/>
          <w:szCs w:val="24"/>
        </w:rPr>
      </w:pPr>
      <w:proofErr w:type="spellStart"/>
      <w:r w:rsidRPr="00C713C3">
        <w:rPr>
          <w:rFonts w:asciiTheme="majorBidi" w:hAnsiTheme="majorBidi" w:cstheme="majorBidi"/>
          <w:sz w:val="24"/>
          <w:szCs w:val="24"/>
        </w:rPr>
        <w:t>Tok</w:t>
      </w:r>
      <w:proofErr w:type="spellEnd"/>
      <w:r w:rsidRPr="00C713C3">
        <w:rPr>
          <w:rFonts w:asciiTheme="majorBidi" w:hAnsiTheme="majorBidi" w:cstheme="majorBidi"/>
          <w:sz w:val="24"/>
          <w:szCs w:val="24"/>
        </w:rPr>
        <w:t xml:space="preserve">, H. (2010). TEFL textbook evaluation: from teachers’ perspectives. </w:t>
      </w:r>
      <w:r w:rsidRPr="00C713C3">
        <w:rPr>
          <w:rFonts w:asciiTheme="majorBidi" w:hAnsiTheme="majorBidi" w:cstheme="majorBidi"/>
          <w:i/>
          <w:iCs/>
          <w:sz w:val="24"/>
          <w:szCs w:val="24"/>
        </w:rPr>
        <w:t>Educational Research and Review,</w:t>
      </w:r>
      <w:r w:rsidRPr="00C713C3">
        <w:rPr>
          <w:rFonts w:asciiTheme="majorBidi" w:hAnsiTheme="majorBidi" w:cstheme="majorBidi"/>
          <w:sz w:val="24"/>
          <w:szCs w:val="24"/>
        </w:rPr>
        <w:t xml:space="preserve"> 5(9), 508-517.</w:t>
      </w:r>
    </w:p>
    <w:p w:rsidR="00C713C3" w:rsidRDefault="00C713C3" w:rsidP="00C713C3">
      <w:pPr>
        <w:ind w:left="720" w:hanging="720"/>
        <w:jc w:val="both"/>
        <w:rPr>
          <w:rFonts w:asciiTheme="majorBidi" w:hAnsiTheme="majorBidi" w:cstheme="majorBidi"/>
          <w:sz w:val="24"/>
          <w:szCs w:val="24"/>
        </w:rPr>
      </w:pPr>
      <w:r w:rsidRPr="00C713C3">
        <w:rPr>
          <w:rFonts w:asciiTheme="majorBidi" w:hAnsiTheme="majorBidi" w:cstheme="majorBidi"/>
          <w:sz w:val="24"/>
          <w:szCs w:val="24"/>
        </w:rPr>
        <w:t xml:space="preserve">Ur, P. (1996). </w:t>
      </w:r>
      <w:r w:rsidRPr="00C713C3">
        <w:rPr>
          <w:rFonts w:asciiTheme="majorBidi" w:hAnsiTheme="majorBidi" w:cstheme="majorBidi"/>
          <w:i/>
          <w:iCs/>
          <w:sz w:val="24"/>
          <w:szCs w:val="24"/>
        </w:rPr>
        <w:t>A course in language teaching</w:t>
      </w:r>
      <w:r w:rsidRPr="00C713C3">
        <w:rPr>
          <w:rFonts w:asciiTheme="majorBidi" w:hAnsiTheme="majorBidi" w:cstheme="majorBidi"/>
          <w:sz w:val="24"/>
          <w:szCs w:val="24"/>
        </w:rPr>
        <w:t>. Cambridge University Press.</w:t>
      </w:r>
    </w:p>
    <w:p w:rsidR="00C713C3" w:rsidRPr="00C713C3" w:rsidRDefault="00C713C3" w:rsidP="00C713C3">
      <w:pPr>
        <w:ind w:left="720" w:hanging="720"/>
        <w:jc w:val="both"/>
        <w:rPr>
          <w:rFonts w:asciiTheme="majorBidi" w:hAnsiTheme="majorBidi" w:cstheme="majorBidi"/>
          <w:sz w:val="72"/>
          <w:szCs w:val="72"/>
        </w:rPr>
      </w:pPr>
      <w:r w:rsidRPr="00C713C3">
        <w:rPr>
          <w:rFonts w:asciiTheme="majorBidi" w:hAnsiTheme="majorBidi" w:cstheme="majorBidi"/>
          <w:sz w:val="24"/>
          <w:szCs w:val="24"/>
        </w:rPr>
        <w:lastRenderedPageBreak/>
        <w:t>Williams, D. (1983). Developing criteria for textbook evaluation</w:t>
      </w:r>
      <w:r w:rsidRPr="00C713C3">
        <w:rPr>
          <w:rFonts w:asciiTheme="majorBidi" w:hAnsiTheme="majorBidi" w:cstheme="majorBidi"/>
          <w:i/>
          <w:iCs/>
          <w:sz w:val="24"/>
          <w:szCs w:val="24"/>
        </w:rPr>
        <w:t>. English Language Teaching Journal,</w:t>
      </w:r>
      <w:r w:rsidRPr="00C713C3">
        <w:rPr>
          <w:rFonts w:asciiTheme="majorBidi" w:hAnsiTheme="majorBidi" w:cstheme="majorBidi"/>
          <w:sz w:val="24"/>
          <w:szCs w:val="24"/>
        </w:rPr>
        <w:t xml:space="preserve"> 37(3), 251-255.</w:t>
      </w:r>
    </w:p>
    <w:sectPr w:rsidR="00C713C3" w:rsidRPr="00C71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58"/>
    <w:rsid w:val="00037F49"/>
    <w:rsid w:val="00067770"/>
    <w:rsid w:val="000C476C"/>
    <w:rsid w:val="000D3899"/>
    <w:rsid w:val="00101C87"/>
    <w:rsid w:val="00200B47"/>
    <w:rsid w:val="00297D7E"/>
    <w:rsid w:val="002A4A3D"/>
    <w:rsid w:val="00380A95"/>
    <w:rsid w:val="00383E3E"/>
    <w:rsid w:val="003B1B05"/>
    <w:rsid w:val="003B43A6"/>
    <w:rsid w:val="003C39B3"/>
    <w:rsid w:val="003E268F"/>
    <w:rsid w:val="00407A16"/>
    <w:rsid w:val="00421720"/>
    <w:rsid w:val="00447984"/>
    <w:rsid w:val="004C2803"/>
    <w:rsid w:val="00525939"/>
    <w:rsid w:val="005841A3"/>
    <w:rsid w:val="005B24B0"/>
    <w:rsid w:val="005E7ED4"/>
    <w:rsid w:val="005F0D94"/>
    <w:rsid w:val="006109A9"/>
    <w:rsid w:val="00647264"/>
    <w:rsid w:val="00656186"/>
    <w:rsid w:val="006E074C"/>
    <w:rsid w:val="00700B01"/>
    <w:rsid w:val="0079157D"/>
    <w:rsid w:val="007A280E"/>
    <w:rsid w:val="00846807"/>
    <w:rsid w:val="00850122"/>
    <w:rsid w:val="008924A2"/>
    <w:rsid w:val="008C603E"/>
    <w:rsid w:val="008D4118"/>
    <w:rsid w:val="008E6BAD"/>
    <w:rsid w:val="00936A11"/>
    <w:rsid w:val="009B7CE8"/>
    <w:rsid w:val="009D2A74"/>
    <w:rsid w:val="009E3E85"/>
    <w:rsid w:val="00A252D8"/>
    <w:rsid w:val="00A92F58"/>
    <w:rsid w:val="00AA7FAB"/>
    <w:rsid w:val="00B00E61"/>
    <w:rsid w:val="00B1045D"/>
    <w:rsid w:val="00B96675"/>
    <w:rsid w:val="00BB455A"/>
    <w:rsid w:val="00BD4CF9"/>
    <w:rsid w:val="00C03B8B"/>
    <w:rsid w:val="00C2194B"/>
    <w:rsid w:val="00C3689A"/>
    <w:rsid w:val="00C506FD"/>
    <w:rsid w:val="00C713C3"/>
    <w:rsid w:val="00CC5164"/>
    <w:rsid w:val="00D1786F"/>
    <w:rsid w:val="00E01414"/>
    <w:rsid w:val="00E01888"/>
    <w:rsid w:val="00E250F1"/>
    <w:rsid w:val="00E47D45"/>
    <w:rsid w:val="00E9335A"/>
    <w:rsid w:val="00EA1EF4"/>
    <w:rsid w:val="00EA6B16"/>
    <w:rsid w:val="00EB0EBD"/>
    <w:rsid w:val="00EE14AD"/>
    <w:rsid w:val="00F74C67"/>
    <w:rsid w:val="00FA47EF"/>
    <w:rsid w:val="00FB3712"/>
    <w:rsid w:val="00FC24E8"/>
    <w:rsid w:val="00FD71B8"/>
    <w:rsid w:val="00FE79D1"/>
    <w:rsid w:val="00FF7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41C4"/>
  <w15:chartTrackingRefBased/>
  <w15:docId w15:val="{22209F9D-7C40-45CC-8930-AA54F1CB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D71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EB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5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80142-8AED-453E-99D1-519A9CE7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ASUSCenter</cp:lastModifiedBy>
  <cp:revision>2</cp:revision>
  <cp:lastPrinted>2021-11-05T05:32:00Z</cp:lastPrinted>
  <dcterms:created xsi:type="dcterms:W3CDTF">2021-11-06T06:17:00Z</dcterms:created>
  <dcterms:modified xsi:type="dcterms:W3CDTF">2021-11-06T06:17:00Z</dcterms:modified>
</cp:coreProperties>
</file>