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9B1E" w14:textId="2E1EF209" w:rsidR="00E66C56" w:rsidRPr="00027D34" w:rsidRDefault="000A5B59" w:rsidP="000A5B59">
      <w:pPr>
        <w:jc w:val="center"/>
        <w:rPr>
          <w:b/>
          <w:bCs/>
          <w:sz w:val="30"/>
          <w:szCs w:val="30"/>
        </w:rPr>
      </w:pPr>
      <w:r w:rsidRPr="00027D34">
        <w:rPr>
          <w:b/>
          <w:bCs/>
          <w:sz w:val="30"/>
          <w:szCs w:val="30"/>
        </w:rPr>
        <w:t xml:space="preserve">Investigating the Effects of Pre-reading Activities on Reading Anxiety and Reading Comprehension on EFL learners; A Case of Play VS. </w:t>
      </w:r>
      <w:r w:rsidR="002407CA">
        <w:rPr>
          <w:b/>
          <w:bCs/>
          <w:sz w:val="30"/>
          <w:szCs w:val="30"/>
        </w:rPr>
        <w:t>Video</w:t>
      </w:r>
    </w:p>
    <w:p w14:paraId="1EA3F36E" w14:textId="77777777" w:rsidR="000A5B59" w:rsidRDefault="000A5B59" w:rsidP="000A5B59">
      <w:pPr>
        <w:jc w:val="center"/>
      </w:pPr>
    </w:p>
    <w:p w14:paraId="24043B6C" w14:textId="47F0B477" w:rsidR="000A5B59" w:rsidRPr="00B47A38" w:rsidRDefault="00996EE0" w:rsidP="000A5B59">
      <w:pPr>
        <w:jc w:val="center"/>
        <w:rPr>
          <w:b/>
          <w:bCs/>
        </w:rPr>
      </w:pPr>
      <w:r w:rsidRPr="00B47A38">
        <w:rPr>
          <w:b/>
          <w:bCs/>
        </w:rPr>
        <w:t>*</w:t>
      </w:r>
      <w:r w:rsidR="008C081A">
        <w:rPr>
          <w:b/>
          <w:bCs/>
        </w:rPr>
        <w:t xml:space="preserve">Dr. </w:t>
      </w:r>
      <w:r w:rsidR="000A5B59" w:rsidRPr="00B47A38">
        <w:rPr>
          <w:b/>
          <w:bCs/>
        </w:rPr>
        <w:t>Reza Nejati</w:t>
      </w:r>
    </w:p>
    <w:p w14:paraId="428B00F6" w14:textId="44316ABE" w:rsidR="00B47A38" w:rsidRDefault="00B47A38" w:rsidP="000A5B59">
      <w:pPr>
        <w:jc w:val="center"/>
      </w:pPr>
      <w:r>
        <w:t xml:space="preserve">Associate Professor, Shahid Rajaee Teacher Training University </w:t>
      </w:r>
    </w:p>
    <w:p w14:paraId="30177542" w14:textId="36D8DF34" w:rsidR="000A5B59" w:rsidRPr="00B47A38" w:rsidRDefault="000A5B59" w:rsidP="00D06A05">
      <w:pPr>
        <w:jc w:val="center"/>
        <w:rPr>
          <w:b/>
          <w:bCs/>
        </w:rPr>
      </w:pPr>
      <w:r w:rsidRPr="00B47A38">
        <w:rPr>
          <w:b/>
          <w:bCs/>
        </w:rPr>
        <w:t xml:space="preserve">Mostafa Koochemeshki </w:t>
      </w:r>
    </w:p>
    <w:p w14:paraId="38F7A21C" w14:textId="4A5C1BC1" w:rsidR="00B47A38" w:rsidRDefault="00B47A38" w:rsidP="00D06A05">
      <w:pPr>
        <w:jc w:val="center"/>
      </w:pPr>
      <w:r>
        <w:t>MA Student, Shahid Rajaee Teacher Training University</w:t>
      </w:r>
    </w:p>
    <w:p w14:paraId="33EA9C47" w14:textId="339A094A" w:rsidR="000A5B59" w:rsidRDefault="000A5B59" w:rsidP="000A5B59">
      <w:pPr>
        <w:jc w:val="center"/>
      </w:pPr>
    </w:p>
    <w:p w14:paraId="376320F8" w14:textId="629BDD86" w:rsidR="00B47A38" w:rsidRDefault="00AF1767" w:rsidP="00B47A38">
      <w:hyperlink r:id="rId7" w:history="1">
        <w:r w:rsidR="00B47A38" w:rsidRPr="0047603F">
          <w:rPr>
            <w:rStyle w:val="Hyperlink"/>
          </w:rPr>
          <w:t>nejatireza2@gmail.com</w:t>
        </w:r>
      </w:hyperlink>
    </w:p>
    <w:p w14:paraId="6A348E6A" w14:textId="63AACB96" w:rsidR="00B47A38" w:rsidRDefault="00AF1767" w:rsidP="00B47A38">
      <w:hyperlink r:id="rId8" w:history="1">
        <w:r w:rsidR="00B47A38" w:rsidRPr="0047603F">
          <w:rPr>
            <w:rStyle w:val="Hyperlink"/>
          </w:rPr>
          <w:t>Koochemeshki74@gmail.com</w:t>
        </w:r>
      </w:hyperlink>
    </w:p>
    <w:p w14:paraId="7F5A05BC" w14:textId="77777777" w:rsidR="00D06A05" w:rsidRDefault="00D06A05" w:rsidP="00B47A38"/>
    <w:p w14:paraId="253B5465" w14:textId="77777777" w:rsidR="000A5B59" w:rsidRPr="00B47A38" w:rsidRDefault="000A5B59" w:rsidP="000A5B59">
      <w:pPr>
        <w:rPr>
          <w:rFonts w:asciiTheme="majorBidi" w:hAnsiTheme="majorBidi" w:cstheme="majorBidi"/>
          <w:b/>
          <w:bCs/>
        </w:rPr>
      </w:pPr>
      <w:r w:rsidRPr="00B47A38">
        <w:rPr>
          <w:rFonts w:asciiTheme="majorBidi" w:hAnsiTheme="majorBidi" w:cstheme="majorBidi"/>
          <w:b/>
          <w:bCs/>
        </w:rPr>
        <w:t xml:space="preserve">Abstract </w:t>
      </w:r>
    </w:p>
    <w:p w14:paraId="475A8E8A" w14:textId="7895F620" w:rsidR="000A5B59" w:rsidRPr="00B47A38" w:rsidRDefault="000A5B59" w:rsidP="000A5B59">
      <w:pPr>
        <w:rPr>
          <w:rFonts w:asciiTheme="majorBidi" w:hAnsiTheme="majorBidi" w:cstheme="majorBidi"/>
        </w:rPr>
      </w:pPr>
      <w:r w:rsidRPr="00B47A38">
        <w:rPr>
          <w:rFonts w:asciiTheme="majorBidi" w:hAnsiTheme="majorBidi" w:cstheme="majorBidi"/>
        </w:rPr>
        <w:t xml:space="preserve">Over the past two decades, </w:t>
      </w:r>
      <w:r w:rsidR="00A31618" w:rsidRPr="00B47A38">
        <w:rPr>
          <w:rFonts w:asciiTheme="majorBidi" w:hAnsiTheme="majorBidi" w:cstheme="majorBidi"/>
        </w:rPr>
        <w:t>researchers</w:t>
      </w:r>
      <w:r w:rsidRPr="00B47A38">
        <w:rPr>
          <w:rFonts w:asciiTheme="majorBidi" w:hAnsiTheme="majorBidi" w:cstheme="majorBidi"/>
        </w:rPr>
        <w:t xml:space="preserve"> have been hard at work trying to investigate different approaches that might help with reading anxiety and reading comprehension. In their efforts, </w:t>
      </w:r>
      <w:r w:rsidR="00A31618" w:rsidRPr="00B47A38">
        <w:rPr>
          <w:rFonts w:asciiTheme="majorBidi" w:hAnsiTheme="majorBidi" w:cstheme="majorBidi"/>
        </w:rPr>
        <w:t>researchers</w:t>
      </w:r>
      <w:r w:rsidRPr="00B47A38">
        <w:rPr>
          <w:rFonts w:asciiTheme="majorBidi" w:hAnsiTheme="majorBidi" w:cstheme="majorBidi"/>
        </w:rPr>
        <w:t xml:space="preserve"> have pointed out to the impact of visualizations, from simple pictures to complex animated videos, and their relation with both reading anxiety and reading comprehension. Pre-reading activities also constitute a realm that has always been the subject of probing. Its impact on stimulating background knowledge before the start of reading has been investigated. This study aimed at comparing two pre-reading activities, namely plays and animations, and establish whether each one is more successful than the other with respect to reading anxiety and reading comprehension. 101 Iranian male 12th graders from the city of Tehran, Iran, were put into two groups. The </w:t>
      </w:r>
      <w:r w:rsidR="00D06A05" w:rsidRPr="00B47A38">
        <w:rPr>
          <w:rFonts w:asciiTheme="majorBidi" w:hAnsiTheme="majorBidi" w:cstheme="majorBidi"/>
        </w:rPr>
        <w:t>P</w:t>
      </w:r>
      <w:r w:rsidRPr="00B47A38">
        <w:rPr>
          <w:rFonts w:asciiTheme="majorBidi" w:hAnsiTheme="majorBidi" w:cstheme="majorBidi"/>
        </w:rPr>
        <w:t xml:space="preserve">lay </w:t>
      </w:r>
      <w:r w:rsidR="00D06A05" w:rsidRPr="00B47A38">
        <w:rPr>
          <w:rFonts w:asciiTheme="majorBidi" w:hAnsiTheme="majorBidi" w:cstheme="majorBidi"/>
        </w:rPr>
        <w:t>G</w:t>
      </w:r>
      <w:r w:rsidRPr="00B47A38">
        <w:rPr>
          <w:rFonts w:asciiTheme="majorBidi" w:hAnsiTheme="majorBidi" w:cstheme="majorBidi"/>
        </w:rPr>
        <w:t xml:space="preserve">roup consisted of 49 and the </w:t>
      </w:r>
      <w:r w:rsidR="00D06A05" w:rsidRPr="00B47A38">
        <w:rPr>
          <w:rFonts w:asciiTheme="majorBidi" w:hAnsiTheme="majorBidi" w:cstheme="majorBidi"/>
        </w:rPr>
        <w:t>A</w:t>
      </w:r>
      <w:r w:rsidRPr="00B47A38">
        <w:rPr>
          <w:rFonts w:asciiTheme="majorBidi" w:hAnsiTheme="majorBidi" w:cstheme="majorBidi"/>
        </w:rPr>
        <w:t xml:space="preserve">nimation </w:t>
      </w:r>
      <w:r w:rsidR="00D06A05" w:rsidRPr="00B47A38">
        <w:rPr>
          <w:rFonts w:asciiTheme="majorBidi" w:hAnsiTheme="majorBidi" w:cstheme="majorBidi"/>
        </w:rPr>
        <w:t>G</w:t>
      </w:r>
      <w:r w:rsidRPr="00B47A38">
        <w:rPr>
          <w:rFonts w:asciiTheme="majorBidi" w:hAnsiTheme="majorBidi" w:cstheme="majorBidi"/>
        </w:rPr>
        <w:t xml:space="preserve">roup 52 participants. Before the beginning of the </w:t>
      </w:r>
      <w:r w:rsidR="00692E88" w:rsidRPr="00B47A38">
        <w:rPr>
          <w:rFonts w:asciiTheme="majorBidi" w:hAnsiTheme="majorBidi" w:cstheme="majorBidi"/>
        </w:rPr>
        <w:t>study</w:t>
      </w:r>
      <w:r w:rsidRPr="00B47A38">
        <w:rPr>
          <w:rFonts w:asciiTheme="majorBidi" w:hAnsiTheme="majorBidi" w:cstheme="majorBidi"/>
        </w:rPr>
        <w:t>, both groups took a KET reading test and the Foreign Language Reading Anxiety Scale. Throughout the study, each group received 5 plays and 5 animations before the beginning of their textbook and workbook reading activities as their treatments. At the end</w:t>
      </w:r>
      <w:r w:rsidR="00D06A05" w:rsidRPr="00B47A38">
        <w:rPr>
          <w:rFonts w:asciiTheme="majorBidi" w:hAnsiTheme="majorBidi" w:cstheme="majorBidi"/>
        </w:rPr>
        <w:t xml:space="preserve"> of the study</w:t>
      </w:r>
      <w:r w:rsidRPr="00B47A38">
        <w:rPr>
          <w:rFonts w:asciiTheme="majorBidi" w:hAnsiTheme="majorBidi" w:cstheme="majorBidi"/>
        </w:rPr>
        <w:t xml:space="preserve">, KET reading tests and FLRAS were again administered. Data obtained were analyzed through one-way analysis of covariance and multivariate analysis of covariance. Plays and animations were found to have no difference when it comes to reading anxiety. On the other hand, participants of the </w:t>
      </w:r>
      <w:r w:rsidR="00D06A05" w:rsidRPr="00B47A38">
        <w:rPr>
          <w:rFonts w:asciiTheme="majorBidi" w:hAnsiTheme="majorBidi" w:cstheme="majorBidi"/>
        </w:rPr>
        <w:t>P</w:t>
      </w:r>
      <w:r w:rsidRPr="00B47A38">
        <w:rPr>
          <w:rFonts w:asciiTheme="majorBidi" w:hAnsiTheme="majorBidi" w:cstheme="majorBidi"/>
        </w:rPr>
        <w:t xml:space="preserve">lay </w:t>
      </w:r>
      <w:r w:rsidR="00D06A05" w:rsidRPr="00B47A38">
        <w:rPr>
          <w:rFonts w:asciiTheme="majorBidi" w:hAnsiTheme="majorBidi" w:cstheme="majorBidi"/>
        </w:rPr>
        <w:t>G</w:t>
      </w:r>
      <w:r w:rsidRPr="00B47A38">
        <w:rPr>
          <w:rFonts w:asciiTheme="majorBidi" w:hAnsiTheme="majorBidi" w:cstheme="majorBidi"/>
        </w:rPr>
        <w:t xml:space="preserve">roup showed marginal trend of improvement in their reading comprehension scores. </w:t>
      </w:r>
    </w:p>
    <w:p w14:paraId="45605936" w14:textId="1C4B40B0" w:rsidR="00D06A05" w:rsidRPr="00B47A38" w:rsidRDefault="00D06A05" w:rsidP="000A5B59">
      <w:pPr>
        <w:rPr>
          <w:rFonts w:asciiTheme="majorBidi" w:hAnsiTheme="majorBidi" w:cstheme="majorBidi"/>
        </w:rPr>
      </w:pPr>
    </w:p>
    <w:p w14:paraId="0DFD7223" w14:textId="022E7383" w:rsidR="00D06A05" w:rsidRPr="00B47A38" w:rsidRDefault="00D06A05" w:rsidP="001F462E">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Review of literature </w:t>
      </w:r>
    </w:p>
    <w:p w14:paraId="7CAD1DAB" w14:textId="0CACE253" w:rsidR="00525ED8" w:rsidRPr="00B47A38" w:rsidRDefault="00525ED8" w:rsidP="000A5B59">
      <w:pPr>
        <w:rPr>
          <w:rFonts w:asciiTheme="majorBidi" w:hAnsiTheme="majorBidi" w:cstheme="majorBidi"/>
          <w:b/>
          <w:bCs/>
        </w:rPr>
      </w:pPr>
      <w:r w:rsidRPr="00B47A38">
        <w:rPr>
          <w:rFonts w:asciiTheme="majorBidi" w:hAnsiTheme="majorBidi" w:cstheme="majorBidi"/>
          <w:b/>
          <w:bCs/>
        </w:rPr>
        <w:t>Reading Anxiety</w:t>
      </w:r>
    </w:p>
    <w:p w14:paraId="71221214" w14:textId="5D5D0B4F" w:rsidR="00D06A05" w:rsidRPr="00B47A38" w:rsidRDefault="00E26E8B" w:rsidP="000A5B59">
      <w:pPr>
        <w:rPr>
          <w:rFonts w:asciiTheme="majorBidi" w:hAnsiTheme="majorBidi" w:cstheme="majorBidi"/>
        </w:rPr>
      </w:pPr>
      <w:r w:rsidRPr="00B47A38">
        <w:rPr>
          <w:rFonts w:asciiTheme="majorBidi" w:hAnsiTheme="majorBidi" w:cstheme="majorBidi"/>
        </w:rPr>
        <w:t>Spielberg (1983) defined anxiety as “the subjective feeling of tension, apprehension, nervousness, and worry associated with an arousal of the autonomic nervous system” (p.1). Anxiety produces “uneasiness, frustration, self-doubt, insecurity, or apprehension” (Sellers, 2000). Foreign language reading anxiety (FLRA) refers to the feelings of frustration and apprehension one experiences when she/he fails comprehending a text in L2 (</w:t>
      </w:r>
      <w:proofErr w:type="spellStart"/>
      <w:r w:rsidRPr="00B47A38">
        <w:rPr>
          <w:rFonts w:asciiTheme="majorBidi" w:hAnsiTheme="majorBidi" w:cstheme="majorBidi"/>
        </w:rPr>
        <w:t>Capan</w:t>
      </w:r>
      <w:proofErr w:type="spellEnd"/>
      <w:r w:rsidRPr="00B47A38">
        <w:rPr>
          <w:rFonts w:asciiTheme="majorBidi" w:hAnsiTheme="majorBidi" w:cstheme="majorBidi"/>
        </w:rPr>
        <w:t xml:space="preserve"> and </w:t>
      </w:r>
      <w:proofErr w:type="spellStart"/>
      <w:r w:rsidRPr="00B47A38">
        <w:rPr>
          <w:rFonts w:asciiTheme="majorBidi" w:hAnsiTheme="majorBidi" w:cstheme="majorBidi"/>
        </w:rPr>
        <w:t>Karaca</w:t>
      </w:r>
      <w:proofErr w:type="spellEnd"/>
      <w:r w:rsidRPr="00B47A38">
        <w:rPr>
          <w:rFonts w:asciiTheme="majorBidi" w:hAnsiTheme="majorBidi" w:cstheme="majorBidi"/>
        </w:rPr>
        <w:t xml:space="preserve">, 2013). Reading anxiety is seen as a factor that intervenes at some point between the decoding of a text and the actual processing of textual meaning. Sources of </w:t>
      </w:r>
      <w:r w:rsidRPr="00B47A38">
        <w:rPr>
          <w:rFonts w:asciiTheme="majorBidi" w:hAnsiTheme="majorBidi" w:cstheme="majorBidi"/>
        </w:rPr>
        <w:lastRenderedPageBreak/>
        <w:t>foreign language reading anxiety include unfamiliar scripts, unfamiliar topics and worry about the reading effect (Rajab et al., 2012). Horwitz et al. (1999) found that unfamiliarity with the target culture, lack of sufficient background information and the second language writing systems and scripts are anxiety-provoking issues.</w:t>
      </w:r>
      <w:r w:rsidR="00525ED8" w:rsidRPr="00B47A38">
        <w:rPr>
          <w:rFonts w:asciiTheme="majorBidi" w:hAnsiTheme="majorBidi" w:cstheme="majorBidi"/>
        </w:rPr>
        <w:t xml:space="preserve"> In Sellers’ 2000 study, anxiety was found to reduce the speed at which readers recognized letters and words. It was also mentioned that anxiety negatively impacted decision-making processes related to reading comprehension like choosing the best reading strategies to use and deciding on the meaning of words. </w:t>
      </w:r>
    </w:p>
    <w:p w14:paraId="2387EC32" w14:textId="77777777" w:rsidR="00692E88" w:rsidRPr="00B47A38" w:rsidRDefault="00692E88" w:rsidP="00692E88">
      <w:pPr>
        <w:rPr>
          <w:rFonts w:asciiTheme="majorBidi" w:hAnsiTheme="majorBidi" w:cstheme="majorBidi"/>
        </w:rPr>
      </w:pPr>
      <w:r w:rsidRPr="00B47A38">
        <w:rPr>
          <w:rFonts w:asciiTheme="majorBidi" w:hAnsiTheme="majorBidi" w:cstheme="majorBidi"/>
        </w:rPr>
        <w:t xml:space="preserve">In 2001, </w:t>
      </w:r>
      <w:proofErr w:type="spellStart"/>
      <w:r w:rsidRPr="00B47A38">
        <w:rPr>
          <w:rFonts w:asciiTheme="majorBidi" w:hAnsiTheme="majorBidi" w:cstheme="majorBidi"/>
        </w:rPr>
        <w:t>Zbornik</w:t>
      </w:r>
      <w:proofErr w:type="spellEnd"/>
      <w:r w:rsidRPr="00B47A38">
        <w:rPr>
          <w:rFonts w:asciiTheme="majorBidi" w:hAnsiTheme="majorBidi" w:cstheme="majorBidi"/>
        </w:rPr>
        <w:t xml:space="preserve"> explored the physical and cognitive reactions of students who experience reading anxiety. From a physical standpoint, some students have been seen and reported to sweat profusely, their breathing becoming louder and faster, their heart increasingly beating faster and faster. In extreme cases, their voice, hands, knees and entire body would be trembling, sometimes having a headache or stomachache. From a cognitive point of view, an overwhelming sense of dread, low self-esteem, feelings of helpless, and expectations of public humiliation were commonly witnessed. </w:t>
      </w:r>
    </w:p>
    <w:p w14:paraId="307D05D8" w14:textId="77777777" w:rsidR="00692E88" w:rsidRPr="00B47A38" w:rsidRDefault="00692E88" w:rsidP="00692E88">
      <w:pPr>
        <w:rPr>
          <w:rFonts w:asciiTheme="majorBidi" w:hAnsiTheme="majorBidi" w:cstheme="majorBidi"/>
        </w:rPr>
      </w:pPr>
      <w:r w:rsidRPr="00B47A38">
        <w:rPr>
          <w:rFonts w:asciiTheme="majorBidi" w:hAnsiTheme="majorBidi" w:cstheme="majorBidi"/>
        </w:rPr>
        <w:t xml:space="preserve">Anxious readers typically think about things that are irrelevant to the act of reading: “this passage is too difficult,” “I am falling behind others,” “I do not have much time,” “the teacher is going to be very upset,” “my classmates will laugh at me,” are but a handful of their thoughts. Students’ negative self-judgment on being incompetent in learning languages and lofty personal expectations created copious amounts of anxiety and stress in students (Aydin, 1999). </w:t>
      </w:r>
    </w:p>
    <w:p w14:paraId="5587B0A9" w14:textId="47560B7B" w:rsidR="00692E88" w:rsidRPr="00B47A38" w:rsidRDefault="00692E88" w:rsidP="00692E88">
      <w:pPr>
        <w:rPr>
          <w:rFonts w:asciiTheme="majorBidi" w:hAnsiTheme="majorBidi" w:cstheme="majorBidi"/>
        </w:rPr>
      </w:pPr>
      <w:r w:rsidRPr="00B47A38">
        <w:rPr>
          <w:rFonts w:asciiTheme="majorBidi" w:hAnsiTheme="majorBidi" w:cstheme="majorBidi"/>
        </w:rPr>
        <w:t>These ruminations take up mental space and energy to process and handle incoming information. That energy could have been expended on the reading itself. As a result of this poor allocation of mental energy, these fretful readers usually have a difficult time in reading classes (sellers, 2000).</w:t>
      </w:r>
    </w:p>
    <w:p w14:paraId="61A30B95" w14:textId="68C074FA" w:rsidR="00525ED8" w:rsidRPr="00B47A38" w:rsidRDefault="00525ED8" w:rsidP="000A5B59">
      <w:pPr>
        <w:rPr>
          <w:rFonts w:asciiTheme="majorBidi" w:hAnsiTheme="majorBidi" w:cstheme="majorBidi"/>
          <w:b/>
          <w:bCs/>
        </w:rPr>
      </w:pPr>
      <w:r w:rsidRPr="00B47A38">
        <w:rPr>
          <w:rFonts w:asciiTheme="majorBidi" w:hAnsiTheme="majorBidi" w:cstheme="majorBidi"/>
          <w:b/>
          <w:bCs/>
        </w:rPr>
        <w:t xml:space="preserve">Reading comprehension </w:t>
      </w:r>
    </w:p>
    <w:p w14:paraId="736C4E6F" w14:textId="086C143B" w:rsidR="00525ED8" w:rsidRPr="00B47A38" w:rsidRDefault="00525ED8" w:rsidP="000A5B59">
      <w:pPr>
        <w:rPr>
          <w:rFonts w:asciiTheme="majorBidi" w:hAnsiTheme="majorBidi" w:cstheme="majorBidi"/>
        </w:rPr>
      </w:pPr>
      <w:r w:rsidRPr="00B47A38">
        <w:rPr>
          <w:rFonts w:asciiTheme="majorBidi" w:hAnsiTheme="majorBidi" w:cstheme="majorBidi"/>
        </w:rPr>
        <w:t>A simplified yet accurate definition of reading comprehension maintains that this is a process through which the reader attempts to concurrently elicit and construct meaning from the written language he/she is interacting with (</w:t>
      </w:r>
      <w:proofErr w:type="spellStart"/>
      <w:r w:rsidRPr="00B47A38">
        <w:rPr>
          <w:rFonts w:asciiTheme="majorBidi" w:hAnsiTheme="majorBidi" w:cstheme="majorBidi"/>
        </w:rPr>
        <w:t>Brevik</w:t>
      </w:r>
      <w:proofErr w:type="spellEnd"/>
      <w:r w:rsidRPr="00B47A38">
        <w:rPr>
          <w:rFonts w:asciiTheme="majorBidi" w:hAnsiTheme="majorBidi" w:cstheme="majorBidi"/>
        </w:rPr>
        <w:t xml:space="preserve"> et al., 2016). According to Wood et al. (1998), several factors can impair reading comprehension. Some passages have unique and unfamiliar elements that puzzle Readers. Some are in realms which the readers have little information of. This lack of in-advance knowledge stymies comprehension of the text as a whole. </w:t>
      </w:r>
      <w:r w:rsidR="000D162E" w:rsidRPr="00B47A38">
        <w:rPr>
          <w:rFonts w:asciiTheme="majorBidi" w:hAnsiTheme="majorBidi" w:cstheme="majorBidi"/>
        </w:rPr>
        <w:t>In such cases, readers</w:t>
      </w:r>
      <w:r w:rsidRPr="00B47A38">
        <w:rPr>
          <w:rFonts w:asciiTheme="majorBidi" w:hAnsiTheme="majorBidi" w:cstheme="majorBidi"/>
        </w:rPr>
        <w:t xml:space="preserve"> report that they </w:t>
      </w:r>
      <w:r w:rsidR="000D162E" w:rsidRPr="00B47A38">
        <w:rPr>
          <w:rFonts w:asciiTheme="majorBidi" w:hAnsiTheme="majorBidi" w:cstheme="majorBidi"/>
        </w:rPr>
        <w:t>resort to</w:t>
      </w:r>
      <w:r w:rsidRPr="00B47A38">
        <w:rPr>
          <w:rFonts w:asciiTheme="majorBidi" w:hAnsiTheme="majorBidi" w:cstheme="majorBidi"/>
        </w:rPr>
        <w:t xml:space="preserve"> </w:t>
      </w:r>
      <w:r w:rsidR="000D162E" w:rsidRPr="00B47A38">
        <w:rPr>
          <w:rFonts w:asciiTheme="majorBidi" w:hAnsiTheme="majorBidi" w:cstheme="majorBidi"/>
        </w:rPr>
        <w:t>translating</w:t>
      </w:r>
      <w:r w:rsidRPr="00B47A38">
        <w:rPr>
          <w:rFonts w:asciiTheme="majorBidi" w:hAnsiTheme="majorBidi" w:cstheme="majorBidi"/>
        </w:rPr>
        <w:t xml:space="preserve"> sentences one by one but</w:t>
      </w:r>
      <w:r w:rsidR="000D162E" w:rsidRPr="00B47A38">
        <w:rPr>
          <w:rFonts w:asciiTheme="majorBidi" w:hAnsiTheme="majorBidi" w:cstheme="majorBidi"/>
        </w:rPr>
        <w:t xml:space="preserve"> still</w:t>
      </w:r>
      <w:r w:rsidRPr="00B47A38">
        <w:rPr>
          <w:rFonts w:asciiTheme="majorBidi" w:hAnsiTheme="majorBidi" w:cstheme="majorBidi"/>
        </w:rPr>
        <w:t xml:space="preserve"> are not able to construct the message the passage is trying to get across. </w:t>
      </w:r>
      <w:r w:rsidR="007B2067" w:rsidRPr="00B47A38">
        <w:rPr>
          <w:rFonts w:asciiTheme="majorBidi" w:hAnsiTheme="majorBidi" w:cstheme="majorBidi"/>
        </w:rPr>
        <w:t xml:space="preserve">According to </w:t>
      </w:r>
      <w:proofErr w:type="spellStart"/>
      <w:r w:rsidR="007B2067" w:rsidRPr="00B47A38">
        <w:rPr>
          <w:rFonts w:asciiTheme="majorBidi" w:hAnsiTheme="majorBidi" w:cstheme="majorBidi"/>
        </w:rPr>
        <w:t>Taglieber</w:t>
      </w:r>
      <w:proofErr w:type="spellEnd"/>
      <w:r w:rsidR="007B2067" w:rsidRPr="00B47A38">
        <w:rPr>
          <w:rFonts w:asciiTheme="majorBidi" w:hAnsiTheme="majorBidi" w:cstheme="majorBidi"/>
        </w:rPr>
        <w:t xml:space="preserve"> (1988), not knowing enough words, not having enough conceptual knowledge and difficulty in using language cues to meaning can interfere negatively with comprehending a passage.</w:t>
      </w:r>
    </w:p>
    <w:p w14:paraId="37F65A1E" w14:textId="13A8FC43" w:rsidR="000D162E" w:rsidRPr="00B47A38" w:rsidRDefault="000D162E" w:rsidP="000A5B59">
      <w:pPr>
        <w:rPr>
          <w:rFonts w:asciiTheme="majorBidi" w:hAnsiTheme="majorBidi" w:cstheme="majorBidi"/>
          <w:b/>
          <w:bCs/>
        </w:rPr>
      </w:pPr>
      <w:r w:rsidRPr="00B47A38">
        <w:rPr>
          <w:rFonts w:asciiTheme="majorBidi" w:hAnsiTheme="majorBidi" w:cstheme="majorBidi"/>
          <w:b/>
          <w:bCs/>
        </w:rPr>
        <w:t xml:space="preserve">Pre reading activities </w:t>
      </w:r>
    </w:p>
    <w:p w14:paraId="13BCA10B" w14:textId="27D96415" w:rsidR="007B2067" w:rsidRPr="00B47A38" w:rsidRDefault="000D162E" w:rsidP="000A5B59">
      <w:pPr>
        <w:rPr>
          <w:rFonts w:asciiTheme="majorBidi" w:hAnsiTheme="majorBidi" w:cstheme="majorBidi"/>
        </w:rPr>
      </w:pPr>
      <w:r w:rsidRPr="00B47A38">
        <w:rPr>
          <w:rFonts w:asciiTheme="majorBidi" w:hAnsiTheme="majorBidi" w:cstheme="majorBidi"/>
        </w:rPr>
        <w:t xml:space="preserve">Pre-reading activities are those activities that students carry out before reading a text. According to Alemi and </w:t>
      </w:r>
      <w:proofErr w:type="spellStart"/>
      <w:r w:rsidRPr="00B47A38">
        <w:rPr>
          <w:rFonts w:asciiTheme="majorBidi" w:hAnsiTheme="majorBidi" w:cstheme="majorBidi"/>
        </w:rPr>
        <w:t>Ebadi</w:t>
      </w:r>
      <w:proofErr w:type="spellEnd"/>
      <w:r w:rsidRPr="00B47A38">
        <w:rPr>
          <w:rFonts w:asciiTheme="majorBidi" w:hAnsiTheme="majorBidi" w:cstheme="majorBidi"/>
        </w:rPr>
        <w:t xml:space="preserve"> (2010), pre reading activities, or, based on Tudor (1989) and Ringler and Weber (1984) interpretations “enabling activities,” can positively affect reading comprehension. They help concentrate attention, for example, and allow for deeper engagement with the text.</w:t>
      </w:r>
      <w:r w:rsidR="007B2067" w:rsidRPr="00B47A38">
        <w:rPr>
          <w:rFonts w:asciiTheme="majorBidi" w:hAnsiTheme="majorBidi" w:cstheme="majorBidi"/>
        </w:rPr>
        <w:t xml:space="preserve"> </w:t>
      </w:r>
      <w:proofErr w:type="spellStart"/>
      <w:r w:rsidR="007B2067" w:rsidRPr="00B47A38">
        <w:rPr>
          <w:rFonts w:asciiTheme="majorBidi" w:hAnsiTheme="majorBidi" w:cstheme="majorBidi"/>
        </w:rPr>
        <w:t>Rumelhart</w:t>
      </w:r>
      <w:proofErr w:type="spellEnd"/>
      <w:r w:rsidR="007B2067" w:rsidRPr="00B47A38">
        <w:rPr>
          <w:rFonts w:asciiTheme="majorBidi" w:hAnsiTheme="majorBidi" w:cstheme="majorBidi"/>
        </w:rPr>
        <w:t xml:space="preserve"> and </w:t>
      </w:r>
      <w:proofErr w:type="spellStart"/>
      <w:r w:rsidR="007B2067" w:rsidRPr="00B47A38">
        <w:rPr>
          <w:rFonts w:asciiTheme="majorBidi" w:hAnsiTheme="majorBidi" w:cstheme="majorBidi"/>
        </w:rPr>
        <w:t>Ortony</w:t>
      </w:r>
      <w:proofErr w:type="spellEnd"/>
      <w:r w:rsidR="007B2067" w:rsidRPr="00B47A38">
        <w:rPr>
          <w:rFonts w:asciiTheme="majorBidi" w:hAnsiTheme="majorBidi" w:cstheme="majorBidi"/>
        </w:rPr>
        <w:t xml:space="preserve"> (1977) provided the rationale for pre-reading activities through schema theory. This theory holds that meaning is achieved when a reader’s prior knowledge, aka schemata, works in tandem with the text. Absent that prior knowledge, or its activation, and full comprehension will have been eluded. It is precisely through pre-reading activities that one seeks to either activate or provide from the grass roots that prior knowledge necessary to understanding a text. </w:t>
      </w:r>
      <w:proofErr w:type="spellStart"/>
      <w:r w:rsidR="007B2067" w:rsidRPr="00B47A38">
        <w:rPr>
          <w:rFonts w:asciiTheme="majorBidi" w:hAnsiTheme="majorBidi" w:cstheme="majorBidi"/>
        </w:rPr>
        <w:t>Akbulut</w:t>
      </w:r>
      <w:proofErr w:type="spellEnd"/>
      <w:r w:rsidR="007B2067" w:rsidRPr="00B47A38">
        <w:rPr>
          <w:rFonts w:asciiTheme="majorBidi" w:hAnsiTheme="majorBidi" w:cstheme="majorBidi"/>
        </w:rPr>
        <w:t xml:space="preserve"> (2008) takes the importance of pre-reading activities even further by asserting that proper activation of schema may help overcome lack of proficiency in L2 to a desirable degree.</w:t>
      </w:r>
    </w:p>
    <w:p w14:paraId="54E25BA6" w14:textId="6437637B" w:rsidR="000D162E" w:rsidRPr="00B47A38" w:rsidRDefault="000D162E" w:rsidP="000A5B59">
      <w:pPr>
        <w:rPr>
          <w:rFonts w:asciiTheme="majorBidi" w:hAnsiTheme="majorBidi" w:cstheme="majorBidi"/>
        </w:rPr>
      </w:pPr>
      <w:r w:rsidRPr="00B47A38">
        <w:rPr>
          <w:rFonts w:asciiTheme="majorBidi" w:hAnsiTheme="majorBidi" w:cstheme="majorBidi"/>
        </w:rPr>
        <w:lastRenderedPageBreak/>
        <w:t>According to Hudson (1982), a reader’s “interaction with a text can be assisted by implementing pre reading activities. Pre-reading activities not only facilitate understanding (Mayer, 1984), but also make reading a more enjoyable task by reducing the difficulty to meaningfully pair new content with background knowledge (Hansen, 1981).</w:t>
      </w:r>
      <w:r w:rsidR="007B2067" w:rsidRPr="00B47A38">
        <w:rPr>
          <w:rFonts w:asciiTheme="majorBidi" w:hAnsiTheme="majorBidi" w:cstheme="majorBidi"/>
        </w:rPr>
        <w:t xml:space="preserve"> Pre-reading activities aim at certain goals and objectives that, according to </w:t>
      </w:r>
      <w:proofErr w:type="spellStart"/>
      <w:r w:rsidR="007B2067" w:rsidRPr="00B47A38">
        <w:rPr>
          <w:rFonts w:asciiTheme="majorBidi" w:hAnsiTheme="majorBidi" w:cstheme="majorBidi"/>
        </w:rPr>
        <w:t>Celce</w:t>
      </w:r>
      <w:proofErr w:type="spellEnd"/>
      <w:r w:rsidR="007B2067" w:rsidRPr="00B47A38">
        <w:rPr>
          <w:rFonts w:asciiTheme="majorBidi" w:hAnsiTheme="majorBidi" w:cstheme="majorBidi"/>
        </w:rPr>
        <w:t xml:space="preserve">-Murcia (1991), include activating prior knowledge of the subject in students, giving enough linguistic assistance that students might draw upon when encountering difficulties in the passage and, last but not least, increasing students’ motivation about the text so that they will show enough willingness to read. </w:t>
      </w:r>
    </w:p>
    <w:p w14:paraId="242A32A7" w14:textId="6D126E94" w:rsidR="007B2067" w:rsidRPr="00B47A38" w:rsidRDefault="007B2067" w:rsidP="000A5B59">
      <w:pPr>
        <w:rPr>
          <w:rFonts w:asciiTheme="majorBidi" w:hAnsiTheme="majorBidi" w:cstheme="majorBidi"/>
        </w:rPr>
      </w:pPr>
      <w:r w:rsidRPr="00B47A38">
        <w:rPr>
          <w:rFonts w:asciiTheme="majorBidi" w:hAnsiTheme="majorBidi" w:cstheme="majorBidi"/>
        </w:rPr>
        <w:t xml:space="preserve">Greenall and swan (1986), along with other authors, recommend using strategies and activities that involve role-plays, </w:t>
      </w:r>
      <w:r w:rsidR="00692E88" w:rsidRPr="00B47A38">
        <w:rPr>
          <w:rFonts w:asciiTheme="majorBidi" w:hAnsiTheme="majorBidi" w:cstheme="majorBidi"/>
        </w:rPr>
        <w:t xml:space="preserve">animations and </w:t>
      </w:r>
      <w:r w:rsidRPr="00B47A38">
        <w:rPr>
          <w:rFonts w:asciiTheme="majorBidi" w:hAnsiTheme="majorBidi" w:cstheme="majorBidi"/>
        </w:rPr>
        <w:t xml:space="preserve">pictures, among a myriad of other techniques, to help trigger the background knowledge of students. </w:t>
      </w:r>
      <w:r w:rsidR="00692E88" w:rsidRPr="00B47A38">
        <w:rPr>
          <w:rFonts w:asciiTheme="majorBidi" w:hAnsiTheme="majorBidi" w:cstheme="majorBidi"/>
        </w:rPr>
        <w:t xml:space="preserve">In their 1987 study, Anstey and Freebody found that any pre-reading activity that is intended to activate schema meaningfully impacts reading comprehension. They also extrapolated from their study that students displayed a marked preference for pictorial activities in their pre-reading section compared to verbal activities. Furthermore, Students might be missing important and relevant schemata, Floyd and Carrel (1987) argue, and it is the responsibility of the teacher to close that gap. Also, students must be taught by their teachers how to connect previous knowledge with the new one. Both of these steps are integral in comprehending a text.   </w:t>
      </w:r>
    </w:p>
    <w:p w14:paraId="77291282" w14:textId="1EAB0A2F" w:rsidR="001F462E" w:rsidRPr="00B47A38" w:rsidRDefault="001F462E" w:rsidP="001F462E">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Statement of the problem </w:t>
      </w:r>
    </w:p>
    <w:p w14:paraId="453F544F" w14:textId="7389A479" w:rsidR="001F462E" w:rsidRPr="00B47A38" w:rsidRDefault="001F462E" w:rsidP="001F462E">
      <w:pPr>
        <w:rPr>
          <w:rFonts w:asciiTheme="majorBidi" w:hAnsiTheme="majorBidi" w:cstheme="majorBidi"/>
        </w:rPr>
      </w:pPr>
      <w:proofErr w:type="spellStart"/>
      <w:r w:rsidRPr="00B47A38">
        <w:rPr>
          <w:rFonts w:asciiTheme="majorBidi" w:hAnsiTheme="majorBidi" w:cstheme="majorBidi"/>
        </w:rPr>
        <w:t>Swaffar</w:t>
      </w:r>
      <w:proofErr w:type="spellEnd"/>
      <w:r w:rsidRPr="00B47A38">
        <w:rPr>
          <w:rFonts w:asciiTheme="majorBidi" w:hAnsiTheme="majorBidi" w:cstheme="majorBidi"/>
        </w:rPr>
        <w:t xml:space="preserve"> and </w:t>
      </w:r>
      <w:proofErr w:type="spellStart"/>
      <w:r w:rsidRPr="00B47A38">
        <w:rPr>
          <w:rFonts w:asciiTheme="majorBidi" w:hAnsiTheme="majorBidi" w:cstheme="majorBidi"/>
        </w:rPr>
        <w:t>Vlatten</w:t>
      </w:r>
      <w:proofErr w:type="spellEnd"/>
      <w:r w:rsidRPr="00B47A38">
        <w:rPr>
          <w:rFonts w:asciiTheme="majorBidi" w:hAnsiTheme="majorBidi" w:cstheme="majorBidi"/>
        </w:rPr>
        <w:t xml:space="preserve"> (1997) attested that using a multitude of methods and techniques in language teaching deepens the grasp of the language. Foreign language learning literature supports both plays and animations and says that they can affect reading anxiety and reading comprehension. Under the rubric of “visualization,” research claims that visual cues can be positive factors influencing learning a new language. </w:t>
      </w:r>
    </w:p>
    <w:p w14:paraId="29922302" w14:textId="307E734A" w:rsidR="001F462E" w:rsidRPr="00B47A38" w:rsidRDefault="001F462E" w:rsidP="001F462E">
      <w:pPr>
        <w:rPr>
          <w:rFonts w:asciiTheme="majorBidi" w:hAnsiTheme="majorBidi" w:cstheme="majorBidi"/>
        </w:rPr>
      </w:pPr>
      <w:r w:rsidRPr="00B47A38">
        <w:rPr>
          <w:rFonts w:asciiTheme="majorBidi" w:hAnsiTheme="majorBidi" w:cstheme="majorBidi"/>
        </w:rPr>
        <w:t xml:space="preserve">Animations and plays both have been touted as effective methods to influence learning. It is still unclear whether animations or plays will influence anxiety, motivation, confidence, making tasks seems manageable and authentic and other affective factors when compared with each other. </w:t>
      </w:r>
    </w:p>
    <w:p w14:paraId="0302E4D0" w14:textId="4F170921" w:rsidR="001F462E" w:rsidRPr="00B47A38" w:rsidRDefault="001F462E" w:rsidP="001F462E">
      <w:pPr>
        <w:rPr>
          <w:rFonts w:asciiTheme="majorBidi" w:hAnsiTheme="majorBidi" w:cstheme="majorBidi"/>
        </w:rPr>
      </w:pPr>
      <w:r w:rsidRPr="00B47A38">
        <w:rPr>
          <w:rFonts w:asciiTheme="majorBidi" w:hAnsiTheme="majorBidi" w:cstheme="majorBidi"/>
        </w:rPr>
        <w:t xml:space="preserve">Plays and animations differ in some aspects. For one thing, in order to create an animation, a working knowledge of computer and technology is required. The creator of the animation has to be able to effectively work with software applications. In order to achieve the acceptable level of mastery, many hours must be dedicated to learning the ins and outs of these applications, a task senior educators might not find the easiest. Also, the fact that the status quo favors technology and considers it a panacea to all educational problems makes the situation more stressful and confusing. Some educators may think that their lack of technological knowledge is impeding their progress and they will never be as effective as peers whose mastery of technology, in this case animation software applications, is at an acceptable level. </w:t>
      </w:r>
    </w:p>
    <w:p w14:paraId="22B27562" w14:textId="7F28FD8F" w:rsidR="001F462E" w:rsidRPr="00B47A38" w:rsidRDefault="001F462E" w:rsidP="001F462E">
      <w:pPr>
        <w:rPr>
          <w:rFonts w:asciiTheme="majorBidi" w:hAnsiTheme="majorBidi" w:cstheme="majorBidi"/>
        </w:rPr>
      </w:pPr>
      <w:r w:rsidRPr="00B47A38">
        <w:rPr>
          <w:rFonts w:asciiTheme="majorBidi" w:hAnsiTheme="majorBidi" w:cstheme="majorBidi"/>
        </w:rPr>
        <w:t xml:space="preserve">In a study done by </w:t>
      </w:r>
      <w:proofErr w:type="spellStart"/>
      <w:r w:rsidRPr="00B47A38">
        <w:rPr>
          <w:rFonts w:asciiTheme="majorBidi" w:hAnsiTheme="majorBidi" w:cstheme="majorBidi"/>
        </w:rPr>
        <w:t>Vande</w:t>
      </w:r>
      <w:proofErr w:type="spellEnd"/>
      <w:r w:rsidRPr="00B47A38">
        <w:rPr>
          <w:rFonts w:asciiTheme="majorBidi" w:hAnsiTheme="majorBidi" w:cstheme="majorBidi"/>
        </w:rPr>
        <w:t xml:space="preserve"> Berg (1993), she recognizes that reading can be anxiety provoking and it should be dealt with extra care when preparing students for the reading task. One common technique, which may not be intended to lower anxiety at first, is using pre-reading activities. This paper seeks to investigate and compare animations and plays with each other in </w:t>
      </w:r>
      <w:r w:rsidR="00CB0C54" w:rsidRPr="00B47A38">
        <w:rPr>
          <w:rFonts w:asciiTheme="majorBidi" w:hAnsiTheme="majorBidi" w:cstheme="majorBidi"/>
        </w:rPr>
        <w:t>the areas of</w:t>
      </w:r>
      <w:r w:rsidRPr="00B47A38">
        <w:rPr>
          <w:rFonts w:asciiTheme="majorBidi" w:hAnsiTheme="majorBidi" w:cstheme="majorBidi"/>
        </w:rPr>
        <w:t xml:space="preserve"> reading anxiety and reading comprehension.</w:t>
      </w:r>
    </w:p>
    <w:p w14:paraId="2D591276" w14:textId="16E8C9D7" w:rsidR="00CB0C54" w:rsidRPr="00B47A38" w:rsidRDefault="00CB0C54" w:rsidP="00CB0C54">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Research questions </w:t>
      </w:r>
    </w:p>
    <w:p w14:paraId="7B940914" w14:textId="2133C653" w:rsidR="00CB0C54" w:rsidRPr="00B47A38" w:rsidRDefault="00CB0C54" w:rsidP="00CB0C54">
      <w:pPr>
        <w:rPr>
          <w:rFonts w:asciiTheme="majorBidi" w:hAnsiTheme="majorBidi" w:cstheme="majorBidi"/>
        </w:rPr>
      </w:pPr>
      <w:r w:rsidRPr="00B47A38">
        <w:rPr>
          <w:rFonts w:asciiTheme="majorBidi" w:hAnsiTheme="majorBidi" w:cstheme="majorBidi"/>
        </w:rPr>
        <w:t>This study aims at answering the following questions:</w:t>
      </w:r>
    </w:p>
    <w:p w14:paraId="3677BA3A" w14:textId="77777777" w:rsidR="00CB0C54" w:rsidRPr="00B47A38" w:rsidRDefault="00CB0C54" w:rsidP="00CB0C54">
      <w:pPr>
        <w:spacing w:line="480" w:lineRule="auto"/>
        <w:rPr>
          <w:rFonts w:asciiTheme="majorBidi" w:hAnsiTheme="majorBidi" w:cstheme="majorBidi"/>
        </w:rPr>
      </w:pPr>
      <w:r w:rsidRPr="00B47A38">
        <w:rPr>
          <w:rFonts w:asciiTheme="majorBidi" w:hAnsiTheme="majorBidi" w:cstheme="majorBidi"/>
        </w:rPr>
        <w:t xml:space="preserve">1: Is there a difference between groups treated by play or animation regarding reading anxiety? </w:t>
      </w:r>
    </w:p>
    <w:p w14:paraId="2A300C21" w14:textId="77777777" w:rsidR="00CB0C54" w:rsidRPr="00B47A38" w:rsidRDefault="00CB0C54" w:rsidP="00CB0C54">
      <w:pPr>
        <w:spacing w:line="480" w:lineRule="auto"/>
        <w:rPr>
          <w:rFonts w:asciiTheme="majorBidi" w:hAnsiTheme="majorBidi" w:cstheme="majorBidi"/>
        </w:rPr>
      </w:pPr>
      <w:r w:rsidRPr="00B47A38">
        <w:rPr>
          <w:rFonts w:asciiTheme="majorBidi" w:hAnsiTheme="majorBidi" w:cstheme="majorBidi"/>
        </w:rPr>
        <w:lastRenderedPageBreak/>
        <w:t>2: Is there a difference between groups treated by play or animation regarding reading comprehension?</w:t>
      </w:r>
    </w:p>
    <w:p w14:paraId="00E83E4A" w14:textId="21D9A818" w:rsidR="00CB0C54" w:rsidRPr="00B47A38" w:rsidRDefault="00CB0C54" w:rsidP="00CB0C54">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Methodology </w:t>
      </w:r>
    </w:p>
    <w:p w14:paraId="75B0B0E9" w14:textId="4049799D" w:rsidR="00F428CA" w:rsidRPr="00B47A38" w:rsidRDefault="00F428CA" w:rsidP="00F428CA">
      <w:pPr>
        <w:rPr>
          <w:rFonts w:asciiTheme="majorBidi" w:hAnsiTheme="majorBidi" w:cstheme="majorBidi"/>
        </w:rPr>
      </w:pPr>
      <w:r w:rsidRPr="00B47A38">
        <w:rPr>
          <w:rFonts w:asciiTheme="majorBidi" w:hAnsiTheme="majorBidi" w:cstheme="majorBidi"/>
        </w:rPr>
        <w:t>The present study was conducted to compare with each other the effects of animations and plays on reading anxiety and reading comprehension. The following research elements procedure was included in carrying out to obtain the research objectives.</w:t>
      </w:r>
    </w:p>
    <w:p w14:paraId="5DCB47DC" w14:textId="5F8451E4" w:rsidR="00F428CA" w:rsidRPr="003E3FE5" w:rsidRDefault="00F428CA" w:rsidP="00F428CA">
      <w:pPr>
        <w:pStyle w:val="ListParagraph"/>
        <w:numPr>
          <w:ilvl w:val="1"/>
          <w:numId w:val="1"/>
        </w:numPr>
        <w:rPr>
          <w:i/>
          <w:iCs/>
        </w:rPr>
      </w:pPr>
      <w:r w:rsidRPr="003E3FE5">
        <w:rPr>
          <w:i/>
          <w:iCs/>
        </w:rPr>
        <w:t>Design</w:t>
      </w:r>
    </w:p>
    <w:p w14:paraId="4E338E6C" w14:textId="77777777" w:rsidR="00F428CA" w:rsidRPr="00B47A38" w:rsidRDefault="00F428CA" w:rsidP="00F428CA">
      <w:pPr>
        <w:rPr>
          <w:rFonts w:asciiTheme="majorBidi" w:hAnsiTheme="majorBidi" w:cstheme="majorBidi"/>
        </w:rPr>
      </w:pPr>
      <w:r w:rsidRPr="00B47A38">
        <w:rPr>
          <w:rFonts w:asciiTheme="majorBidi" w:hAnsiTheme="majorBidi" w:cstheme="majorBidi"/>
        </w:rPr>
        <w:t>This study contains treatments, a pre-test phase and a post-test phase. The schematic of this study is as follows:</w:t>
      </w:r>
    </w:p>
    <w:p w14:paraId="2AEBAB5D" w14:textId="5E9A9039" w:rsidR="00F428CA" w:rsidRDefault="00F428CA" w:rsidP="00F428CA">
      <w:r>
        <w:t>Play:                      Q P1      T1 T2 T3 T4 T5      Q P2</w:t>
      </w:r>
    </w:p>
    <w:p w14:paraId="2E19D85E" w14:textId="77777777" w:rsidR="00F428CA" w:rsidRDefault="00F428CA" w:rsidP="00F428CA">
      <w:r>
        <w:t>Animation:           Q P1      T1 T2 T3 T4 T5      Q P2</w:t>
      </w:r>
    </w:p>
    <w:p w14:paraId="72468B71" w14:textId="1416C5FA" w:rsidR="00F428CA" w:rsidRPr="00B47A38" w:rsidRDefault="00F428CA" w:rsidP="00F428CA">
      <w:pPr>
        <w:rPr>
          <w:rFonts w:asciiTheme="majorBidi" w:hAnsiTheme="majorBidi" w:cstheme="majorBidi"/>
        </w:rPr>
      </w:pPr>
      <w:r w:rsidRPr="00B47A38">
        <w:rPr>
          <w:rFonts w:asciiTheme="majorBidi" w:hAnsiTheme="majorBidi" w:cstheme="majorBidi"/>
        </w:rPr>
        <w:t>Q stands for questionnaire. P1 stands for pre-test. P2 stands for post-test. T1 to T5 stand for treatments for each group.</w:t>
      </w:r>
    </w:p>
    <w:p w14:paraId="48B5B527" w14:textId="493CD16E" w:rsidR="003E3FE5" w:rsidRDefault="003E3FE5" w:rsidP="003E3FE5">
      <w:pPr>
        <w:pStyle w:val="ListParagraph"/>
        <w:numPr>
          <w:ilvl w:val="1"/>
          <w:numId w:val="1"/>
        </w:numPr>
        <w:rPr>
          <w:i/>
          <w:iCs/>
        </w:rPr>
      </w:pPr>
      <w:r w:rsidRPr="003E3FE5">
        <w:rPr>
          <w:i/>
          <w:iCs/>
        </w:rPr>
        <w:t>Participants</w:t>
      </w:r>
    </w:p>
    <w:p w14:paraId="3D3B401A" w14:textId="69F1E6B9" w:rsidR="003E3FE5" w:rsidRPr="00B47A38" w:rsidRDefault="003E3FE5" w:rsidP="003E3FE5">
      <w:pPr>
        <w:rPr>
          <w:rFonts w:asciiTheme="majorBidi" w:hAnsiTheme="majorBidi" w:cstheme="majorBidi"/>
        </w:rPr>
      </w:pPr>
      <w:r w:rsidRPr="00B47A38">
        <w:rPr>
          <w:rFonts w:asciiTheme="majorBidi" w:hAnsiTheme="majorBidi" w:cstheme="majorBidi"/>
        </w:rPr>
        <w:t xml:space="preserve">One hundred and one 12th graders were chosen as the participants of this study. All the participants were male and from one high school in the city of Tehran. All participants were Iranian. The participants were put into two groups. “Group Play” consisted of 49 and “Group Animation” 52 participants.  </w:t>
      </w:r>
    </w:p>
    <w:p w14:paraId="002D3E7F" w14:textId="6492E115" w:rsidR="003E3FE5" w:rsidRPr="003E3FE5" w:rsidRDefault="003E3FE5" w:rsidP="003E3FE5">
      <w:pPr>
        <w:pStyle w:val="ListParagraph"/>
        <w:numPr>
          <w:ilvl w:val="1"/>
          <w:numId w:val="1"/>
        </w:numPr>
        <w:rPr>
          <w:i/>
          <w:iCs/>
        </w:rPr>
      </w:pPr>
      <w:r w:rsidRPr="003E3FE5">
        <w:rPr>
          <w:i/>
          <w:iCs/>
        </w:rPr>
        <w:t xml:space="preserve"> Data Collection Procedures</w:t>
      </w:r>
    </w:p>
    <w:p w14:paraId="118371FF" w14:textId="2A3F3B55" w:rsidR="003E3FE5" w:rsidRPr="00B47A38" w:rsidRDefault="003E3FE5" w:rsidP="003E3FE5">
      <w:pPr>
        <w:rPr>
          <w:rFonts w:asciiTheme="majorBidi" w:hAnsiTheme="majorBidi" w:cstheme="majorBidi"/>
        </w:rPr>
      </w:pPr>
      <w:r w:rsidRPr="00B47A38">
        <w:rPr>
          <w:rFonts w:asciiTheme="majorBidi" w:hAnsiTheme="majorBidi" w:cstheme="majorBidi"/>
        </w:rPr>
        <w:t xml:space="preserve">In order to get a more accurate measurement of participants’ reading anxiety, the questionnaire was given to participants and seven days later the KET exam so that the anxiety of KET test would not interfere. </w:t>
      </w:r>
    </w:p>
    <w:p w14:paraId="1DF7EB2F" w14:textId="01866E2F" w:rsidR="003E3FE5" w:rsidRPr="00B47A38" w:rsidRDefault="003E3FE5" w:rsidP="00B853B4">
      <w:pPr>
        <w:rPr>
          <w:rFonts w:asciiTheme="majorBidi" w:hAnsiTheme="majorBidi" w:cstheme="majorBidi"/>
        </w:rPr>
      </w:pPr>
      <w:r w:rsidRPr="00B47A38">
        <w:rPr>
          <w:rFonts w:asciiTheme="majorBidi" w:hAnsiTheme="majorBidi" w:cstheme="majorBidi"/>
        </w:rPr>
        <w:t>In total, five plays and animations about reading topics that participants were going to read were shown to participants before the reading activities of 12th grade textbook and workbook. Each play consisted of only two actors. One actor was</w:t>
      </w:r>
      <w:r w:rsidR="00A64747" w:rsidRPr="00B47A38">
        <w:rPr>
          <w:rFonts w:asciiTheme="majorBidi" w:hAnsiTheme="majorBidi" w:cstheme="majorBidi"/>
        </w:rPr>
        <w:t xml:space="preserve"> one of</w:t>
      </w:r>
      <w:r w:rsidRPr="00B47A38">
        <w:rPr>
          <w:rFonts w:asciiTheme="majorBidi" w:hAnsiTheme="majorBidi" w:cstheme="majorBidi"/>
        </w:rPr>
        <w:t xml:space="preserve"> the </w:t>
      </w:r>
      <w:r w:rsidR="00A31618" w:rsidRPr="00B47A38">
        <w:rPr>
          <w:rFonts w:asciiTheme="majorBidi" w:hAnsiTheme="majorBidi" w:cstheme="majorBidi"/>
        </w:rPr>
        <w:t>researchers</w:t>
      </w:r>
      <w:r w:rsidRPr="00B47A38">
        <w:rPr>
          <w:rFonts w:asciiTheme="majorBidi" w:hAnsiTheme="majorBidi" w:cstheme="majorBidi"/>
        </w:rPr>
        <w:t xml:space="preserve"> and the other was a 17-year-old 12th grader. In both plays and animations, duration was kept under 4 minutes. Contents of plays and animations corresponded with the level of grammar and vocabulary knowledge of participants. The speed of narration corresponded with the speed of narration in the audio files of the book or slightly slower. Plays and animations never directly addressed the materials in readings and only touched on materials relevant to the them in order to warm up participants by providing them with background information they might have lacked. Before reading activities, participants were shown either a play or animation, according to their classifications. This would be done by uploading a video file in classroom groups. After having watched the file, participants would read the passage in their textbook and answer the questions at the end of each passage. </w:t>
      </w:r>
    </w:p>
    <w:p w14:paraId="71D1DB1C" w14:textId="0D2DABCD" w:rsidR="003E3FE5" w:rsidRPr="00B47A38" w:rsidRDefault="003E3FE5" w:rsidP="003E3FE5">
      <w:pPr>
        <w:rPr>
          <w:rFonts w:asciiTheme="majorBidi" w:hAnsiTheme="majorBidi" w:cstheme="majorBidi"/>
        </w:rPr>
      </w:pPr>
      <w:r w:rsidRPr="00B47A38">
        <w:rPr>
          <w:rFonts w:asciiTheme="majorBidi" w:hAnsiTheme="majorBidi" w:cstheme="majorBidi"/>
        </w:rPr>
        <w:t>One week after the last play/ animation had been administered, participants were asked to fill out the same questionnaire about Foreign Language Reading Anxiety. A week after that, the same KET exam in the pre-test phase was administered to participants. The conditions under which that last phase was conducted were the same as the pre-test phase.</w:t>
      </w:r>
    </w:p>
    <w:p w14:paraId="2C2496DD" w14:textId="2941C9DF" w:rsidR="00B853B4" w:rsidRPr="00B47A38" w:rsidRDefault="00B853B4" w:rsidP="00B853B4">
      <w:pPr>
        <w:pStyle w:val="ListParagraph"/>
        <w:numPr>
          <w:ilvl w:val="1"/>
          <w:numId w:val="1"/>
        </w:numPr>
        <w:rPr>
          <w:rFonts w:asciiTheme="majorBidi" w:hAnsiTheme="majorBidi" w:cstheme="majorBidi"/>
          <w:i/>
          <w:iCs/>
        </w:rPr>
      </w:pPr>
      <w:r w:rsidRPr="00B47A38">
        <w:rPr>
          <w:rFonts w:asciiTheme="majorBidi" w:hAnsiTheme="majorBidi" w:cstheme="majorBidi"/>
          <w:i/>
          <w:iCs/>
        </w:rPr>
        <w:t xml:space="preserve"> Data Analysis Procedure</w:t>
      </w:r>
    </w:p>
    <w:p w14:paraId="5BEA328C" w14:textId="1CD91FB6" w:rsidR="00B853B4" w:rsidRPr="00B47A38" w:rsidRDefault="00B853B4" w:rsidP="00B853B4">
      <w:pPr>
        <w:rPr>
          <w:rFonts w:asciiTheme="majorBidi" w:hAnsiTheme="majorBidi" w:cstheme="majorBidi"/>
        </w:rPr>
      </w:pPr>
      <w:r w:rsidRPr="00B47A38">
        <w:rPr>
          <w:rFonts w:asciiTheme="majorBidi" w:hAnsiTheme="majorBidi" w:cstheme="majorBidi"/>
        </w:rPr>
        <w:lastRenderedPageBreak/>
        <w:t>The data analysis in this study consisted of two series of calculations: descriptive statistics and inferential statistics. Descriptive statistics was related to calculating mean, and standard deviation. The inferential statistics was done using one-way Analysis of Covariance. MANCOVA was also used to further explain the results of sections of post-tests.</w:t>
      </w:r>
    </w:p>
    <w:p w14:paraId="50A24BBA" w14:textId="1AC2307B" w:rsidR="00B853B4" w:rsidRPr="00B47A38" w:rsidRDefault="00B853B4" w:rsidP="00B853B4">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Results </w:t>
      </w:r>
    </w:p>
    <w:p w14:paraId="26CAA7AA" w14:textId="157B5E2A" w:rsidR="00B853B4" w:rsidRPr="00B47A38" w:rsidRDefault="00B853B4" w:rsidP="00B853B4">
      <w:pPr>
        <w:pStyle w:val="ListParagraph"/>
        <w:numPr>
          <w:ilvl w:val="1"/>
          <w:numId w:val="1"/>
        </w:numPr>
        <w:rPr>
          <w:rFonts w:asciiTheme="majorBidi" w:hAnsiTheme="majorBidi" w:cstheme="majorBidi"/>
          <w:i/>
          <w:iCs/>
        </w:rPr>
      </w:pPr>
      <w:r w:rsidRPr="00B47A38">
        <w:rPr>
          <w:rFonts w:asciiTheme="majorBidi" w:hAnsiTheme="majorBidi" w:cstheme="majorBidi"/>
          <w:i/>
          <w:iCs/>
        </w:rPr>
        <w:t xml:space="preserve">Descriptive statistics </w:t>
      </w:r>
    </w:p>
    <w:p w14:paraId="0E70CB75" w14:textId="76C6B218" w:rsidR="00B853B4" w:rsidRPr="00B47A38" w:rsidRDefault="00B853B4" w:rsidP="00B853B4">
      <w:pPr>
        <w:rPr>
          <w:rFonts w:asciiTheme="majorBidi" w:hAnsiTheme="majorBidi" w:cstheme="majorBidi"/>
        </w:rPr>
      </w:pPr>
      <w:r w:rsidRPr="00B47A38">
        <w:rPr>
          <w:rFonts w:asciiTheme="majorBidi" w:hAnsiTheme="majorBidi" w:cstheme="majorBidi"/>
        </w:rPr>
        <w:t>The descriptive statistics of reading anxiety pre-test and post-test are depicted in Table 1.</w:t>
      </w:r>
    </w:p>
    <w:p w14:paraId="183A0B2B" w14:textId="49A77B9F" w:rsidR="00B853B4" w:rsidRPr="00B853B4" w:rsidRDefault="00B853B4" w:rsidP="00B853B4">
      <w:pPr>
        <w:pStyle w:val="ListParagraph"/>
        <w:jc w:val="center"/>
        <w:rPr>
          <w:rFonts w:asciiTheme="majorBidi" w:hAnsiTheme="majorBidi" w:cstheme="majorBidi"/>
          <w:b/>
          <w:bCs/>
        </w:rPr>
      </w:pPr>
      <w:r w:rsidRPr="00B853B4">
        <w:rPr>
          <w:rFonts w:asciiTheme="majorBidi" w:hAnsiTheme="majorBidi" w:cstheme="majorBidi"/>
          <w:b/>
          <w:bCs/>
        </w:rPr>
        <w:t xml:space="preserve">Table </w:t>
      </w:r>
      <w:r>
        <w:rPr>
          <w:rFonts w:asciiTheme="majorBidi" w:hAnsiTheme="majorBidi" w:cstheme="majorBidi"/>
          <w:b/>
          <w:bCs/>
        </w:rPr>
        <w:t>1</w:t>
      </w:r>
      <w:r w:rsidRPr="00B853B4">
        <w:rPr>
          <w:rFonts w:asciiTheme="majorBidi" w:hAnsiTheme="majorBidi" w:cstheme="majorBidi"/>
          <w:b/>
          <w:bCs/>
        </w:rPr>
        <w:t xml:space="preserve"> </w:t>
      </w:r>
      <w:bookmarkStart w:id="0" w:name="_Hlk81935564"/>
      <w:r w:rsidRPr="00B853B4">
        <w:rPr>
          <w:rFonts w:asciiTheme="majorBidi" w:hAnsiTheme="majorBidi" w:cstheme="majorBidi"/>
          <w:b/>
          <w:bCs/>
        </w:rPr>
        <w:t>Descriptive Statistics for Reading Anxiety Pre-test and Post-test</w:t>
      </w:r>
      <w:bookmarkEnd w:id="0"/>
    </w:p>
    <w:tbl>
      <w:tblPr>
        <w:tblStyle w:val="TableGrid"/>
        <w:tblW w:w="10290"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1926"/>
        <w:gridCol w:w="1878"/>
        <w:gridCol w:w="3298"/>
        <w:gridCol w:w="3188"/>
      </w:tblGrid>
      <w:tr w:rsidR="00B853B4" w:rsidRPr="00142580" w14:paraId="473C172B" w14:textId="77777777" w:rsidTr="005505BC">
        <w:tc>
          <w:tcPr>
            <w:tcW w:w="1926" w:type="dxa"/>
            <w:tcBorders>
              <w:bottom w:val="single" w:sz="4" w:space="0" w:color="auto"/>
            </w:tcBorders>
          </w:tcPr>
          <w:p w14:paraId="05CB24ED"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Variable(s) </w:t>
            </w:r>
          </w:p>
        </w:tc>
        <w:tc>
          <w:tcPr>
            <w:tcW w:w="1878" w:type="dxa"/>
            <w:tcBorders>
              <w:bottom w:val="single" w:sz="4" w:space="0" w:color="auto"/>
            </w:tcBorders>
          </w:tcPr>
          <w:p w14:paraId="5D544354"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Groups </w:t>
            </w:r>
          </w:p>
        </w:tc>
        <w:tc>
          <w:tcPr>
            <w:tcW w:w="3298" w:type="dxa"/>
          </w:tcPr>
          <w:p w14:paraId="04A7E64E"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Pre-test </w:t>
            </w:r>
          </w:p>
        </w:tc>
        <w:tc>
          <w:tcPr>
            <w:tcW w:w="3188" w:type="dxa"/>
          </w:tcPr>
          <w:p w14:paraId="383AEA52"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Post-test </w:t>
            </w:r>
          </w:p>
        </w:tc>
      </w:tr>
      <w:tr w:rsidR="00B853B4" w:rsidRPr="00142580" w14:paraId="4C849863" w14:textId="77777777" w:rsidTr="005505BC">
        <w:tc>
          <w:tcPr>
            <w:tcW w:w="1926" w:type="dxa"/>
            <w:tcBorders>
              <w:bottom w:val="nil"/>
            </w:tcBorders>
          </w:tcPr>
          <w:p w14:paraId="67519C1E" w14:textId="77777777" w:rsidR="00B853B4" w:rsidRPr="00142580" w:rsidRDefault="00B853B4" w:rsidP="005505BC">
            <w:pPr>
              <w:rPr>
                <w:rFonts w:asciiTheme="majorBidi" w:hAnsiTheme="majorBidi" w:cstheme="majorBidi"/>
              </w:rPr>
            </w:pPr>
          </w:p>
        </w:tc>
        <w:tc>
          <w:tcPr>
            <w:tcW w:w="1878" w:type="dxa"/>
            <w:tcBorders>
              <w:bottom w:val="nil"/>
            </w:tcBorders>
          </w:tcPr>
          <w:p w14:paraId="40DF2063" w14:textId="77777777" w:rsidR="00B853B4" w:rsidRPr="00142580" w:rsidRDefault="00B853B4" w:rsidP="005505BC">
            <w:pPr>
              <w:rPr>
                <w:rFonts w:asciiTheme="majorBidi" w:hAnsiTheme="majorBidi" w:cstheme="majorBidi"/>
              </w:rPr>
            </w:pPr>
          </w:p>
        </w:tc>
        <w:tc>
          <w:tcPr>
            <w:tcW w:w="3298" w:type="dxa"/>
            <w:tcBorders>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5B02961C" w14:textId="77777777" w:rsidTr="005505BC">
              <w:tc>
                <w:tcPr>
                  <w:tcW w:w="1056" w:type="dxa"/>
                </w:tcPr>
                <w:p w14:paraId="4AEA489C" w14:textId="77777777" w:rsidR="00B853B4" w:rsidRPr="00142580" w:rsidRDefault="00B853B4" w:rsidP="005505BC">
                  <w:pPr>
                    <w:rPr>
                      <w:rFonts w:asciiTheme="majorBidi" w:hAnsiTheme="majorBidi" w:cstheme="majorBidi"/>
                    </w:rPr>
                  </w:pPr>
                  <w:r w:rsidRPr="00142580">
                    <w:rPr>
                      <w:rFonts w:asciiTheme="majorBidi" w:hAnsiTheme="majorBidi" w:cstheme="majorBidi"/>
                    </w:rPr>
                    <w:t>Mean</w:t>
                  </w:r>
                </w:p>
              </w:tc>
              <w:tc>
                <w:tcPr>
                  <w:tcW w:w="1056" w:type="dxa"/>
                </w:tcPr>
                <w:p w14:paraId="18F06FED"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Sd </w:t>
                  </w:r>
                </w:p>
              </w:tc>
            </w:tr>
          </w:tbl>
          <w:p w14:paraId="0D45A729" w14:textId="77777777" w:rsidR="00B853B4" w:rsidRPr="00142580" w:rsidRDefault="00B853B4" w:rsidP="005505BC">
            <w:pPr>
              <w:rPr>
                <w:rFonts w:asciiTheme="majorBidi" w:hAnsiTheme="majorBidi" w:cstheme="majorBidi"/>
              </w:rPr>
            </w:pPr>
          </w:p>
        </w:tc>
        <w:tc>
          <w:tcPr>
            <w:tcW w:w="3188" w:type="dxa"/>
            <w:tcBorders>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53CA2489" w14:textId="77777777" w:rsidTr="005505BC">
              <w:tc>
                <w:tcPr>
                  <w:tcW w:w="1056" w:type="dxa"/>
                </w:tcPr>
                <w:p w14:paraId="442A9474" w14:textId="77777777" w:rsidR="00B853B4" w:rsidRPr="00142580" w:rsidRDefault="00B853B4" w:rsidP="005505BC">
                  <w:pPr>
                    <w:rPr>
                      <w:rFonts w:asciiTheme="majorBidi" w:hAnsiTheme="majorBidi" w:cstheme="majorBidi"/>
                    </w:rPr>
                  </w:pPr>
                  <w:r w:rsidRPr="00142580">
                    <w:rPr>
                      <w:rFonts w:asciiTheme="majorBidi" w:hAnsiTheme="majorBidi" w:cstheme="majorBidi"/>
                    </w:rPr>
                    <w:t>Mean</w:t>
                  </w:r>
                </w:p>
              </w:tc>
              <w:tc>
                <w:tcPr>
                  <w:tcW w:w="1056" w:type="dxa"/>
                </w:tcPr>
                <w:p w14:paraId="308E07B3"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Sd </w:t>
                  </w:r>
                </w:p>
              </w:tc>
            </w:tr>
          </w:tbl>
          <w:p w14:paraId="0CE872B1" w14:textId="77777777" w:rsidR="00B853B4" w:rsidRPr="00142580" w:rsidRDefault="00B853B4" w:rsidP="005505BC">
            <w:pPr>
              <w:rPr>
                <w:rFonts w:asciiTheme="majorBidi" w:hAnsiTheme="majorBidi" w:cstheme="majorBidi"/>
              </w:rPr>
            </w:pPr>
          </w:p>
        </w:tc>
      </w:tr>
      <w:tr w:rsidR="00B853B4" w:rsidRPr="00142580" w14:paraId="2D4EB376" w14:textId="77777777" w:rsidTr="005505BC">
        <w:tc>
          <w:tcPr>
            <w:tcW w:w="1926" w:type="dxa"/>
            <w:tcBorders>
              <w:top w:val="nil"/>
              <w:bottom w:val="nil"/>
            </w:tcBorders>
          </w:tcPr>
          <w:p w14:paraId="15D6EEA0" w14:textId="77777777" w:rsidR="00B853B4" w:rsidRPr="00142580" w:rsidRDefault="00B853B4" w:rsidP="005505BC">
            <w:pPr>
              <w:rPr>
                <w:rFonts w:asciiTheme="majorBidi" w:hAnsiTheme="majorBidi" w:cstheme="majorBidi"/>
              </w:rPr>
            </w:pPr>
          </w:p>
        </w:tc>
        <w:tc>
          <w:tcPr>
            <w:tcW w:w="1878" w:type="dxa"/>
            <w:tcBorders>
              <w:top w:val="nil"/>
              <w:bottom w:val="nil"/>
            </w:tcBorders>
          </w:tcPr>
          <w:p w14:paraId="718D2FBD" w14:textId="77777777" w:rsidR="00B853B4" w:rsidRPr="00142580" w:rsidRDefault="00B853B4" w:rsidP="005505BC">
            <w:pPr>
              <w:rPr>
                <w:rFonts w:asciiTheme="majorBidi" w:hAnsiTheme="majorBidi" w:cstheme="majorBidi"/>
              </w:rPr>
            </w:pPr>
            <w:r w:rsidRPr="00142580">
              <w:rPr>
                <w:rFonts w:asciiTheme="majorBidi" w:hAnsiTheme="majorBidi" w:cstheme="majorBidi"/>
              </w:rPr>
              <w:t>Animation</w:t>
            </w:r>
          </w:p>
        </w:tc>
        <w:tc>
          <w:tcPr>
            <w:tcW w:w="3298" w:type="dxa"/>
            <w:tcBorders>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77F7FE74" w14:textId="77777777" w:rsidTr="005505BC">
              <w:tc>
                <w:tcPr>
                  <w:tcW w:w="1056" w:type="dxa"/>
                </w:tcPr>
                <w:p w14:paraId="506D47AA"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55.269</w:t>
                  </w:r>
                </w:p>
              </w:tc>
              <w:tc>
                <w:tcPr>
                  <w:tcW w:w="1056" w:type="dxa"/>
                </w:tcPr>
                <w:p w14:paraId="0B633514"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8.944</w:t>
                  </w:r>
                </w:p>
              </w:tc>
            </w:tr>
          </w:tbl>
          <w:p w14:paraId="7FE99F33" w14:textId="77777777" w:rsidR="00B853B4" w:rsidRPr="00142580" w:rsidRDefault="00B853B4" w:rsidP="005505BC">
            <w:pPr>
              <w:rPr>
                <w:rFonts w:asciiTheme="majorBidi" w:hAnsiTheme="majorBidi" w:cstheme="majorBidi"/>
              </w:rPr>
            </w:pPr>
          </w:p>
        </w:tc>
        <w:tc>
          <w:tcPr>
            <w:tcW w:w="3188" w:type="dxa"/>
            <w:tcBorders>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1DB55658" w14:textId="77777777" w:rsidTr="005505BC">
              <w:tc>
                <w:tcPr>
                  <w:tcW w:w="1056" w:type="dxa"/>
                </w:tcPr>
                <w:p w14:paraId="408D597E"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56.000</w:t>
                  </w:r>
                </w:p>
              </w:tc>
              <w:tc>
                <w:tcPr>
                  <w:tcW w:w="1056" w:type="dxa"/>
                </w:tcPr>
                <w:p w14:paraId="09AF1B42"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9.252</w:t>
                  </w:r>
                </w:p>
              </w:tc>
            </w:tr>
          </w:tbl>
          <w:p w14:paraId="50BE3D9E" w14:textId="77777777" w:rsidR="00B853B4" w:rsidRPr="00142580" w:rsidRDefault="00B853B4" w:rsidP="005505BC">
            <w:pPr>
              <w:rPr>
                <w:rFonts w:asciiTheme="majorBidi" w:hAnsiTheme="majorBidi" w:cstheme="majorBidi"/>
              </w:rPr>
            </w:pPr>
          </w:p>
        </w:tc>
      </w:tr>
      <w:tr w:rsidR="00B853B4" w:rsidRPr="00142580" w14:paraId="698C6BCF" w14:textId="77777777" w:rsidTr="005505BC">
        <w:tc>
          <w:tcPr>
            <w:tcW w:w="1926" w:type="dxa"/>
            <w:tcBorders>
              <w:top w:val="nil"/>
            </w:tcBorders>
          </w:tcPr>
          <w:p w14:paraId="3F478045" w14:textId="77777777" w:rsidR="00B853B4" w:rsidRPr="00142580" w:rsidRDefault="00B853B4" w:rsidP="005505BC">
            <w:pPr>
              <w:rPr>
                <w:rFonts w:asciiTheme="majorBidi" w:hAnsiTheme="majorBidi" w:cstheme="majorBidi"/>
              </w:rPr>
            </w:pPr>
            <w:r w:rsidRPr="00142580">
              <w:rPr>
                <w:rFonts w:asciiTheme="majorBidi" w:hAnsiTheme="majorBidi" w:cstheme="majorBidi"/>
              </w:rPr>
              <w:t>Reading anxiety</w:t>
            </w:r>
          </w:p>
        </w:tc>
        <w:tc>
          <w:tcPr>
            <w:tcW w:w="1878" w:type="dxa"/>
            <w:tcBorders>
              <w:top w:val="nil"/>
            </w:tcBorders>
          </w:tcPr>
          <w:p w14:paraId="3510BF11" w14:textId="77777777" w:rsidR="00B853B4" w:rsidRPr="00142580" w:rsidRDefault="00B853B4" w:rsidP="005505BC">
            <w:pPr>
              <w:rPr>
                <w:rFonts w:asciiTheme="majorBidi" w:hAnsiTheme="majorBidi" w:cstheme="majorBidi"/>
              </w:rPr>
            </w:pPr>
            <w:r w:rsidRPr="00142580">
              <w:rPr>
                <w:rFonts w:asciiTheme="majorBidi" w:hAnsiTheme="majorBidi" w:cstheme="majorBidi"/>
              </w:rPr>
              <w:t>play</w:t>
            </w:r>
          </w:p>
        </w:tc>
        <w:tc>
          <w:tcPr>
            <w:tcW w:w="3298" w:type="dxa"/>
            <w:tcBorders>
              <w:top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08452675" w14:textId="77777777" w:rsidTr="005505BC">
              <w:tc>
                <w:tcPr>
                  <w:tcW w:w="1056" w:type="dxa"/>
                </w:tcPr>
                <w:p w14:paraId="5E7ECD82"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54.142</w:t>
                  </w:r>
                </w:p>
              </w:tc>
              <w:tc>
                <w:tcPr>
                  <w:tcW w:w="1056" w:type="dxa"/>
                </w:tcPr>
                <w:p w14:paraId="419EE85E"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10.122</w:t>
                  </w:r>
                </w:p>
              </w:tc>
            </w:tr>
          </w:tbl>
          <w:p w14:paraId="5FE114D8" w14:textId="77777777" w:rsidR="00B853B4" w:rsidRPr="00142580" w:rsidRDefault="00B853B4" w:rsidP="005505BC">
            <w:pPr>
              <w:rPr>
                <w:rFonts w:asciiTheme="majorBidi" w:hAnsiTheme="majorBidi" w:cstheme="majorBidi"/>
              </w:rPr>
            </w:pPr>
          </w:p>
        </w:tc>
        <w:tc>
          <w:tcPr>
            <w:tcW w:w="3188" w:type="dxa"/>
            <w:tcBorders>
              <w:top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6178F2E7" w14:textId="77777777" w:rsidTr="005505BC">
              <w:tc>
                <w:tcPr>
                  <w:tcW w:w="1056" w:type="dxa"/>
                </w:tcPr>
                <w:p w14:paraId="58E9811A"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56.775</w:t>
                  </w:r>
                </w:p>
              </w:tc>
              <w:tc>
                <w:tcPr>
                  <w:tcW w:w="1056" w:type="dxa"/>
                </w:tcPr>
                <w:p w14:paraId="110AAC19"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8.324</w:t>
                  </w:r>
                </w:p>
              </w:tc>
            </w:tr>
          </w:tbl>
          <w:p w14:paraId="780B6E1E" w14:textId="77777777" w:rsidR="00B853B4" w:rsidRPr="00142580" w:rsidRDefault="00B853B4" w:rsidP="005505BC">
            <w:pPr>
              <w:rPr>
                <w:rFonts w:asciiTheme="majorBidi" w:hAnsiTheme="majorBidi" w:cstheme="majorBidi"/>
              </w:rPr>
            </w:pPr>
          </w:p>
        </w:tc>
      </w:tr>
    </w:tbl>
    <w:p w14:paraId="6C19B734" w14:textId="3FAB3A3B" w:rsidR="00B853B4" w:rsidRDefault="00B853B4" w:rsidP="00B853B4"/>
    <w:p w14:paraId="4A2A141C" w14:textId="34170DFE" w:rsidR="00B853B4" w:rsidRPr="00B47A38" w:rsidRDefault="00B853B4" w:rsidP="00B853B4">
      <w:pPr>
        <w:rPr>
          <w:rFonts w:asciiTheme="majorBidi" w:hAnsiTheme="majorBidi" w:cstheme="majorBidi"/>
        </w:rPr>
      </w:pPr>
      <w:r w:rsidRPr="00B47A38">
        <w:rPr>
          <w:rFonts w:asciiTheme="majorBidi" w:hAnsiTheme="majorBidi" w:cstheme="majorBidi"/>
        </w:rPr>
        <w:t>The descriptive statistics of KET reading pre-test and post-test are depicted in Table 2.</w:t>
      </w:r>
    </w:p>
    <w:p w14:paraId="4B525016" w14:textId="3349BC6B" w:rsidR="00B853B4" w:rsidRPr="00142580" w:rsidRDefault="00B853B4" w:rsidP="00B853B4">
      <w:pPr>
        <w:jc w:val="center"/>
        <w:rPr>
          <w:rFonts w:asciiTheme="majorBidi" w:hAnsiTheme="majorBidi" w:cstheme="majorBidi"/>
          <w:b/>
          <w:bCs/>
        </w:rPr>
      </w:pPr>
      <w:r w:rsidRPr="00142580">
        <w:rPr>
          <w:rFonts w:asciiTheme="majorBidi" w:hAnsiTheme="majorBidi" w:cstheme="majorBidi"/>
          <w:b/>
          <w:bCs/>
        </w:rPr>
        <w:t xml:space="preserve">Table </w:t>
      </w:r>
      <w:r>
        <w:rPr>
          <w:rFonts w:asciiTheme="majorBidi" w:hAnsiTheme="majorBidi" w:cstheme="majorBidi"/>
          <w:b/>
          <w:bCs/>
        </w:rPr>
        <w:t>2</w:t>
      </w:r>
      <w:r w:rsidRPr="00142580">
        <w:rPr>
          <w:rFonts w:asciiTheme="majorBidi" w:hAnsiTheme="majorBidi" w:cstheme="majorBidi"/>
          <w:b/>
          <w:bCs/>
        </w:rPr>
        <w:t xml:space="preserve"> Descriptive Statistics for KET Reading Pre-test and Post-test</w:t>
      </w:r>
    </w:p>
    <w:tbl>
      <w:tblPr>
        <w:tblStyle w:val="TableGrid"/>
        <w:tblW w:w="10106" w:type="dxa"/>
        <w:tblInd w:w="-108" w:type="dxa"/>
        <w:tblBorders>
          <w:left w:val="none" w:sz="0" w:space="0" w:color="auto"/>
          <w:right w:val="none" w:sz="0" w:space="0" w:color="auto"/>
          <w:insideV w:val="none" w:sz="0" w:space="0" w:color="auto"/>
        </w:tblBorders>
        <w:tblLook w:val="04A0" w:firstRow="1" w:lastRow="0" w:firstColumn="1" w:lastColumn="0" w:noHBand="0" w:noVBand="1"/>
      </w:tblPr>
      <w:tblGrid>
        <w:gridCol w:w="1926"/>
        <w:gridCol w:w="1584"/>
        <w:gridCol w:w="3298"/>
        <w:gridCol w:w="3298"/>
      </w:tblGrid>
      <w:tr w:rsidR="00B853B4" w:rsidRPr="00142580" w14:paraId="78C55E8E" w14:textId="77777777" w:rsidTr="005505BC">
        <w:tc>
          <w:tcPr>
            <w:tcW w:w="1926" w:type="dxa"/>
            <w:tcBorders>
              <w:bottom w:val="single" w:sz="4" w:space="0" w:color="auto"/>
            </w:tcBorders>
          </w:tcPr>
          <w:p w14:paraId="2FD734A2"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Variable(s) </w:t>
            </w:r>
          </w:p>
        </w:tc>
        <w:tc>
          <w:tcPr>
            <w:tcW w:w="1584" w:type="dxa"/>
            <w:tcBorders>
              <w:bottom w:val="single" w:sz="4" w:space="0" w:color="auto"/>
            </w:tcBorders>
          </w:tcPr>
          <w:p w14:paraId="6E0B001E"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Groups </w:t>
            </w:r>
          </w:p>
        </w:tc>
        <w:tc>
          <w:tcPr>
            <w:tcW w:w="3298" w:type="dxa"/>
          </w:tcPr>
          <w:p w14:paraId="371073DD"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Pre-test </w:t>
            </w:r>
          </w:p>
        </w:tc>
        <w:tc>
          <w:tcPr>
            <w:tcW w:w="3298" w:type="dxa"/>
          </w:tcPr>
          <w:p w14:paraId="0D39AD98"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Post-test </w:t>
            </w:r>
          </w:p>
        </w:tc>
      </w:tr>
      <w:tr w:rsidR="00B853B4" w:rsidRPr="00142580" w14:paraId="1F1A1DA2" w14:textId="77777777" w:rsidTr="005505BC">
        <w:tc>
          <w:tcPr>
            <w:tcW w:w="1926" w:type="dxa"/>
            <w:tcBorders>
              <w:bottom w:val="nil"/>
            </w:tcBorders>
          </w:tcPr>
          <w:p w14:paraId="46C97295" w14:textId="77777777" w:rsidR="00B853B4" w:rsidRPr="00142580" w:rsidRDefault="00B853B4" w:rsidP="005505BC">
            <w:pPr>
              <w:rPr>
                <w:rFonts w:asciiTheme="majorBidi" w:hAnsiTheme="majorBidi" w:cstheme="majorBidi"/>
              </w:rPr>
            </w:pPr>
          </w:p>
        </w:tc>
        <w:tc>
          <w:tcPr>
            <w:tcW w:w="1584" w:type="dxa"/>
            <w:tcBorders>
              <w:bottom w:val="nil"/>
            </w:tcBorders>
          </w:tcPr>
          <w:p w14:paraId="393DA7DA" w14:textId="77777777" w:rsidR="00B853B4" w:rsidRPr="00142580" w:rsidRDefault="00B853B4" w:rsidP="005505BC">
            <w:pPr>
              <w:rPr>
                <w:rFonts w:asciiTheme="majorBidi" w:hAnsiTheme="majorBidi" w:cstheme="majorBidi"/>
              </w:rPr>
            </w:pPr>
          </w:p>
        </w:tc>
        <w:tc>
          <w:tcPr>
            <w:tcW w:w="3298" w:type="dxa"/>
            <w:tcBorders>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2FB55E6F" w14:textId="77777777" w:rsidTr="005505BC">
              <w:tc>
                <w:tcPr>
                  <w:tcW w:w="1056" w:type="dxa"/>
                </w:tcPr>
                <w:p w14:paraId="0D5D3B5A" w14:textId="77777777" w:rsidR="00B853B4" w:rsidRPr="00142580" w:rsidRDefault="00B853B4" w:rsidP="005505BC">
                  <w:pPr>
                    <w:rPr>
                      <w:rFonts w:asciiTheme="majorBidi" w:hAnsiTheme="majorBidi" w:cstheme="majorBidi"/>
                    </w:rPr>
                  </w:pPr>
                  <w:r w:rsidRPr="00142580">
                    <w:rPr>
                      <w:rFonts w:asciiTheme="majorBidi" w:hAnsiTheme="majorBidi" w:cstheme="majorBidi"/>
                    </w:rPr>
                    <w:t>Mean</w:t>
                  </w:r>
                </w:p>
              </w:tc>
              <w:tc>
                <w:tcPr>
                  <w:tcW w:w="1056" w:type="dxa"/>
                </w:tcPr>
                <w:p w14:paraId="4CBAA76A"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Sd </w:t>
                  </w:r>
                </w:p>
              </w:tc>
            </w:tr>
          </w:tbl>
          <w:p w14:paraId="5BF48264" w14:textId="77777777" w:rsidR="00B853B4" w:rsidRPr="00142580" w:rsidRDefault="00B853B4" w:rsidP="005505BC">
            <w:pPr>
              <w:rPr>
                <w:rFonts w:asciiTheme="majorBidi" w:hAnsiTheme="majorBidi" w:cstheme="majorBidi"/>
              </w:rPr>
            </w:pPr>
          </w:p>
        </w:tc>
        <w:tc>
          <w:tcPr>
            <w:tcW w:w="3298" w:type="dxa"/>
            <w:tcBorders>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6ADE6072" w14:textId="77777777" w:rsidTr="005505BC">
              <w:tc>
                <w:tcPr>
                  <w:tcW w:w="1056" w:type="dxa"/>
                </w:tcPr>
                <w:p w14:paraId="4E3B2DC3" w14:textId="77777777" w:rsidR="00B853B4" w:rsidRPr="00142580" w:rsidRDefault="00B853B4" w:rsidP="005505BC">
                  <w:pPr>
                    <w:rPr>
                      <w:rFonts w:asciiTheme="majorBidi" w:hAnsiTheme="majorBidi" w:cstheme="majorBidi"/>
                    </w:rPr>
                  </w:pPr>
                  <w:r w:rsidRPr="00142580">
                    <w:rPr>
                      <w:rFonts w:asciiTheme="majorBidi" w:hAnsiTheme="majorBidi" w:cstheme="majorBidi"/>
                    </w:rPr>
                    <w:t>Mean</w:t>
                  </w:r>
                </w:p>
              </w:tc>
              <w:tc>
                <w:tcPr>
                  <w:tcW w:w="1056" w:type="dxa"/>
                </w:tcPr>
                <w:p w14:paraId="4F578035"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Sd </w:t>
                  </w:r>
                </w:p>
              </w:tc>
            </w:tr>
          </w:tbl>
          <w:p w14:paraId="7026E488" w14:textId="77777777" w:rsidR="00B853B4" w:rsidRPr="00142580" w:rsidRDefault="00B853B4" w:rsidP="005505BC">
            <w:pPr>
              <w:rPr>
                <w:rFonts w:asciiTheme="majorBidi" w:hAnsiTheme="majorBidi" w:cstheme="majorBidi"/>
              </w:rPr>
            </w:pPr>
          </w:p>
        </w:tc>
      </w:tr>
      <w:tr w:rsidR="00B853B4" w:rsidRPr="00142580" w14:paraId="7BE67DEE" w14:textId="77777777" w:rsidTr="005505BC">
        <w:tblPrEx>
          <w:tblBorders>
            <w:left w:val="single" w:sz="4" w:space="0" w:color="auto"/>
            <w:right w:val="single" w:sz="4" w:space="0" w:color="auto"/>
            <w:insideV w:val="single" w:sz="4" w:space="0" w:color="auto"/>
          </w:tblBorders>
        </w:tblPrEx>
        <w:tc>
          <w:tcPr>
            <w:tcW w:w="1926" w:type="dxa"/>
            <w:tcBorders>
              <w:top w:val="nil"/>
              <w:left w:val="nil"/>
              <w:right w:val="nil"/>
            </w:tcBorders>
          </w:tcPr>
          <w:p w14:paraId="47EF9CCE" w14:textId="77777777" w:rsidR="00B853B4" w:rsidRPr="00142580" w:rsidRDefault="00B853B4" w:rsidP="005505BC">
            <w:pPr>
              <w:rPr>
                <w:rFonts w:asciiTheme="majorBidi" w:hAnsiTheme="majorBidi" w:cstheme="majorBidi"/>
              </w:rPr>
            </w:pPr>
            <w:r w:rsidRPr="00142580">
              <w:rPr>
                <w:rFonts w:asciiTheme="majorBidi" w:hAnsiTheme="majorBidi" w:cstheme="majorBidi"/>
                <w:sz w:val="20"/>
                <w:szCs w:val="20"/>
              </w:rPr>
              <w:t xml:space="preserve">Reading comprehension </w:t>
            </w:r>
          </w:p>
        </w:tc>
        <w:tc>
          <w:tcPr>
            <w:tcW w:w="1584" w:type="dxa"/>
            <w:tcBorders>
              <w:top w:val="nil"/>
              <w:left w:val="nil"/>
              <w:right w:val="nil"/>
            </w:tcBorders>
          </w:tcPr>
          <w:p w14:paraId="4E5F5337" w14:textId="77777777" w:rsidR="00B853B4" w:rsidRPr="00142580" w:rsidRDefault="00B853B4" w:rsidP="005505BC">
            <w:pPr>
              <w:rPr>
                <w:rFonts w:asciiTheme="majorBidi" w:hAnsiTheme="majorBidi" w:cstheme="majorBidi"/>
              </w:rPr>
            </w:pPr>
            <w:r w:rsidRPr="00142580">
              <w:rPr>
                <w:rFonts w:asciiTheme="majorBidi" w:hAnsiTheme="majorBidi" w:cstheme="majorBidi"/>
              </w:rPr>
              <w:t>animation</w:t>
            </w:r>
          </w:p>
          <w:p w14:paraId="3A0850A7" w14:textId="77777777" w:rsidR="00B853B4" w:rsidRPr="00142580" w:rsidRDefault="00B853B4" w:rsidP="005505BC">
            <w:pPr>
              <w:rPr>
                <w:rFonts w:asciiTheme="majorBidi" w:hAnsiTheme="majorBidi" w:cstheme="majorBidi"/>
              </w:rPr>
            </w:pPr>
            <w:r w:rsidRPr="00142580">
              <w:rPr>
                <w:rFonts w:asciiTheme="majorBidi" w:hAnsiTheme="majorBidi" w:cstheme="majorBidi"/>
              </w:rPr>
              <w:t xml:space="preserve"> play</w:t>
            </w:r>
          </w:p>
          <w:p w14:paraId="6C0AF12E" w14:textId="77777777" w:rsidR="00B853B4" w:rsidRPr="00142580" w:rsidRDefault="00B853B4" w:rsidP="005505BC">
            <w:pPr>
              <w:rPr>
                <w:rFonts w:asciiTheme="majorBidi" w:hAnsiTheme="majorBidi" w:cstheme="majorBidi"/>
              </w:rPr>
            </w:pPr>
          </w:p>
        </w:tc>
        <w:tc>
          <w:tcPr>
            <w:tcW w:w="3298" w:type="dxa"/>
            <w:tcBorders>
              <w:left w:val="nil"/>
              <w:right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6F212FE8" w14:textId="77777777" w:rsidTr="005505BC">
              <w:tc>
                <w:tcPr>
                  <w:tcW w:w="1056" w:type="dxa"/>
                </w:tcPr>
                <w:p w14:paraId="7AD35BBB"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28.076</w:t>
                  </w:r>
                </w:p>
              </w:tc>
              <w:tc>
                <w:tcPr>
                  <w:tcW w:w="1056" w:type="dxa"/>
                </w:tcPr>
                <w:p w14:paraId="1973160A"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12.396</w:t>
                  </w:r>
                </w:p>
              </w:tc>
            </w:tr>
            <w:tr w:rsidR="00B853B4" w:rsidRPr="00142580" w14:paraId="0585CDA6" w14:textId="77777777" w:rsidTr="005505BC">
              <w:tc>
                <w:tcPr>
                  <w:tcW w:w="1056" w:type="dxa"/>
                </w:tcPr>
                <w:p w14:paraId="6737D2E9"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29.102</w:t>
                  </w:r>
                </w:p>
              </w:tc>
              <w:tc>
                <w:tcPr>
                  <w:tcW w:w="1056" w:type="dxa"/>
                </w:tcPr>
                <w:p w14:paraId="63A329C1"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13.643</w:t>
                  </w:r>
                </w:p>
              </w:tc>
            </w:tr>
          </w:tbl>
          <w:p w14:paraId="792F086E" w14:textId="77777777" w:rsidR="00B853B4" w:rsidRPr="00142580" w:rsidRDefault="00B853B4" w:rsidP="005505BC">
            <w:pPr>
              <w:rPr>
                <w:rFonts w:asciiTheme="majorBidi" w:hAnsiTheme="majorBidi" w:cstheme="majorBidi"/>
              </w:rPr>
            </w:pPr>
          </w:p>
        </w:tc>
        <w:tc>
          <w:tcPr>
            <w:tcW w:w="3298" w:type="dxa"/>
            <w:tcBorders>
              <w:left w:val="nil"/>
              <w:right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1056"/>
            </w:tblGrid>
            <w:tr w:rsidR="00B853B4" w:rsidRPr="00142580" w14:paraId="1FA28FC0" w14:textId="77777777" w:rsidTr="005505BC">
              <w:tc>
                <w:tcPr>
                  <w:tcW w:w="1056" w:type="dxa"/>
                </w:tcPr>
                <w:p w14:paraId="1C636DD5"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28.653</w:t>
                  </w:r>
                </w:p>
              </w:tc>
              <w:tc>
                <w:tcPr>
                  <w:tcW w:w="1056" w:type="dxa"/>
                </w:tcPr>
                <w:p w14:paraId="2D794040"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12.192</w:t>
                  </w:r>
                </w:p>
              </w:tc>
            </w:tr>
            <w:tr w:rsidR="00B853B4" w:rsidRPr="00142580" w14:paraId="5D023ED1" w14:textId="77777777" w:rsidTr="005505BC">
              <w:tc>
                <w:tcPr>
                  <w:tcW w:w="1056" w:type="dxa"/>
                </w:tcPr>
                <w:p w14:paraId="3A716A94"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32.265</w:t>
                  </w:r>
                </w:p>
              </w:tc>
              <w:tc>
                <w:tcPr>
                  <w:tcW w:w="1056" w:type="dxa"/>
                </w:tcPr>
                <w:p w14:paraId="2C128197" w14:textId="77777777" w:rsidR="00B853B4" w:rsidRPr="00142580" w:rsidRDefault="00B853B4" w:rsidP="005505BC">
                  <w:pPr>
                    <w:rPr>
                      <w:rFonts w:asciiTheme="majorBidi" w:hAnsiTheme="majorBidi" w:cstheme="majorBidi"/>
                    </w:rPr>
                  </w:pPr>
                  <w:r w:rsidRPr="00142580">
                    <w:rPr>
                      <w:rFonts w:asciiTheme="majorBidi" w:hAnsiTheme="majorBidi" w:cstheme="majorBidi"/>
                      <w:color w:val="010205"/>
                    </w:rPr>
                    <w:t>13.112</w:t>
                  </w:r>
                </w:p>
              </w:tc>
            </w:tr>
          </w:tbl>
          <w:p w14:paraId="3A30C446" w14:textId="77777777" w:rsidR="00B853B4" w:rsidRPr="00142580" w:rsidRDefault="00B853B4" w:rsidP="005505BC">
            <w:pPr>
              <w:rPr>
                <w:rFonts w:asciiTheme="majorBidi" w:hAnsiTheme="majorBidi" w:cstheme="majorBidi"/>
              </w:rPr>
            </w:pPr>
          </w:p>
        </w:tc>
      </w:tr>
    </w:tbl>
    <w:p w14:paraId="18CD418D" w14:textId="77777777" w:rsidR="00CB3015" w:rsidRDefault="00CB3015" w:rsidP="00B853B4"/>
    <w:p w14:paraId="277A52AB" w14:textId="25819965" w:rsidR="00B853B4" w:rsidRPr="00B47A38" w:rsidRDefault="00CB3015" w:rsidP="00B853B4">
      <w:pPr>
        <w:pStyle w:val="ListParagraph"/>
        <w:numPr>
          <w:ilvl w:val="1"/>
          <w:numId w:val="1"/>
        </w:numPr>
        <w:rPr>
          <w:rFonts w:asciiTheme="majorBidi" w:hAnsiTheme="majorBidi" w:cstheme="majorBidi"/>
          <w:i/>
          <w:iCs/>
        </w:rPr>
      </w:pPr>
      <w:r w:rsidRPr="00B47A38">
        <w:rPr>
          <w:rFonts w:asciiTheme="majorBidi" w:hAnsiTheme="majorBidi" w:cstheme="majorBidi"/>
          <w:i/>
          <w:iCs/>
        </w:rPr>
        <w:t>Research Question 1</w:t>
      </w:r>
    </w:p>
    <w:p w14:paraId="7D73DE82" w14:textId="77777777"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Research question 1 was:</w:t>
      </w:r>
    </w:p>
    <w:p w14:paraId="612C1DAE" w14:textId="77777777"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“Is there a difference between groups treated by play or animation regarding reading anxiety?”</w:t>
      </w:r>
    </w:p>
    <w:p w14:paraId="77E67C19" w14:textId="437D3394"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In order to answer this question, one-way Analysis of Covariance (ANCOVA) was used.</w:t>
      </w:r>
    </w:p>
    <w:tbl>
      <w:tblPr>
        <w:tblW w:w="417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44"/>
        <w:gridCol w:w="1044"/>
        <w:gridCol w:w="1044"/>
        <w:gridCol w:w="1044"/>
      </w:tblGrid>
      <w:tr w:rsidR="00CB3015" w:rsidRPr="00250770" w14:paraId="66A33699" w14:textId="77777777" w:rsidTr="005505BC">
        <w:trPr>
          <w:cantSplit/>
          <w:jc w:val="center"/>
        </w:trPr>
        <w:tc>
          <w:tcPr>
            <w:tcW w:w="4176" w:type="dxa"/>
            <w:gridSpan w:val="4"/>
            <w:tcBorders>
              <w:top w:val="nil"/>
              <w:left w:val="nil"/>
              <w:bottom w:val="nil"/>
              <w:right w:val="nil"/>
            </w:tcBorders>
            <w:shd w:val="clear" w:color="auto" w:fill="FFFFFF"/>
            <w:vAlign w:val="center"/>
          </w:tcPr>
          <w:p w14:paraId="27724A90" w14:textId="3785BF34" w:rsidR="00CB3015" w:rsidRPr="00CB3015" w:rsidRDefault="00CB3015" w:rsidP="00CB3015">
            <w:pPr>
              <w:rPr>
                <w:b/>
                <w:bCs/>
              </w:rPr>
            </w:pPr>
            <w:r w:rsidRPr="00CB3015">
              <w:rPr>
                <w:b/>
                <w:bCs/>
              </w:rPr>
              <w:t xml:space="preserve">Table 3 </w:t>
            </w:r>
            <w:proofErr w:type="spellStart"/>
            <w:r w:rsidRPr="00CB3015">
              <w:rPr>
                <w:b/>
                <w:bCs/>
              </w:rPr>
              <w:t>Levene's</w:t>
            </w:r>
            <w:proofErr w:type="spellEnd"/>
            <w:r w:rsidRPr="00CB3015">
              <w:rPr>
                <w:b/>
                <w:bCs/>
              </w:rPr>
              <w:t xml:space="preserve"> Test of Equality of Error </w:t>
            </w:r>
            <w:proofErr w:type="spellStart"/>
            <w:r w:rsidRPr="00CB3015">
              <w:rPr>
                <w:b/>
                <w:bCs/>
              </w:rPr>
              <w:t>Variances</w:t>
            </w:r>
            <w:r w:rsidRPr="00CB3015">
              <w:rPr>
                <w:b/>
                <w:bCs/>
                <w:vertAlign w:val="superscript"/>
              </w:rPr>
              <w:t>a</w:t>
            </w:r>
            <w:proofErr w:type="spellEnd"/>
          </w:p>
        </w:tc>
      </w:tr>
      <w:tr w:rsidR="00CB3015" w:rsidRPr="00250770" w14:paraId="2A8939C8" w14:textId="77777777" w:rsidTr="005505BC">
        <w:trPr>
          <w:cantSplit/>
          <w:jc w:val="center"/>
        </w:trPr>
        <w:tc>
          <w:tcPr>
            <w:tcW w:w="4176" w:type="dxa"/>
            <w:gridSpan w:val="4"/>
            <w:tcBorders>
              <w:top w:val="nil"/>
              <w:left w:val="nil"/>
              <w:bottom w:val="nil"/>
              <w:right w:val="nil"/>
            </w:tcBorders>
            <w:shd w:val="clear" w:color="auto" w:fill="FFFFFF"/>
            <w:vAlign w:val="bottom"/>
          </w:tcPr>
          <w:p w14:paraId="1E7285F1" w14:textId="77777777" w:rsidR="00CB3015" w:rsidRPr="00484B4D" w:rsidRDefault="00CB3015" w:rsidP="00CB3015">
            <w:r w:rsidRPr="00484B4D">
              <w:rPr>
                <w:shd w:val="clear" w:color="auto" w:fill="FFFFFF"/>
              </w:rPr>
              <w:t xml:space="preserve">Dependent Variable:   readinganxiety2  </w:t>
            </w:r>
          </w:p>
        </w:tc>
      </w:tr>
      <w:tr w:rsidR="00CB3015" w:rsidRPr="00250770" w14:paraId="5E3D469B" w14:textId="77777777" w:rsidTr="005505BC">
        <w:trPr>
          <w:cantSplit/>
          <w:jc w:val="center"/>
        </w:trPr>
        <w:tc>
          <w:tcPr>
            <w:tcW w:w="1044" w:type="dxa"/>
            <w:tcBorders>
              <w:top w:val="nil"/>
              <w:left w:val="nil"/>
              <w:bottom w:val="single" w:sz="8" w:space="0" w:color="152935"/>
              <w:right w:val="single" w:sz="8" w:space="0" w:color="E0E0E0"/>
            </w:tcBorders>
            <w:shd w:val="clear" w:color="auto" w:fill="FFFFFF"/>
            <w:vAlign w:val="bottom"/>
          </w:tcPr>
          <w:p w14:paraId="6D7A6F37" w14:textId="77777777" w:rsidR="00CB3015" w:rsidRPr="00484B4D" w:rsidRDefault="00CB3015" w:rsidP="00CB3015">
            <w:r w:rsidRPr="00484B4D">
              <w:t>F</w:t>
            </w:r>
          </w:p>
        </w:tc>
        <w:tc>
          <w:tcPr>
            <w:tcW w:w="1044" w:type="dxa"/>
            <w:tcBorders>
              <w:top w:val="nil"/>
              <w:left w:val="single" w:sz="8" w:space="0" w:color="E0E0E0"/>
              <w:bottom w:val="single" w:sz="8" w:space="0" w:color="152935"/>
              <w:right w:val="single" w:sz="8" w:space="0" w:color="E0E0E0"/>
            </w:tcBorders>
            <w:shd w:val="clear" w:color="auto" w:fill="FFFFFF"/>
            <w:vAlign w:val="bottom"/>
          </w:tcPr>
          <w:p w14:paraId="0D098EB7" w14:textId="77777777" w:rsidR="00CB3015" w:rsidRPr="00484B4D" w:rsidRDefault="00CB3015" w:rsidP="00CB3015">
            <w:r w:rsidRPr="00484B4D">
              <w:t>df1</w:t>
            </w:r>
          </w:p>
        </w:tc>
        <w:tc>
          <w:tcPr>
            <w:tcW w:w="1044" w:type="dxa"/>
            <w:tcBorders>
              <w:top w:val="nil"/>
              <w:left w:val="single" w:sz="8" w:space="0" w:color="E0E0E0"/>
              <w:bottom w:val="single" w:sz="8" w:space="0" w:color="152935"/>
              <w:right w:val="single" w:sz="8" w:space="0" w:color="E0E0E0"/>
            </w:tcBorders>
            <w:shd w:val="clear" w:color="auto" w:fill="FFFFFF"/>
            <w:vAlign w:val="bottom"/>
          </w:tcPr>
          <w:p w14:paraId="42B4AE2A" w14:textId="77777777" w:rsidR="00CB3015" w:rsidRPr="00484B4D" w:rsidRDefault="00CB3015" w:rsidP="00CB3015">
            <w:r w:rsidRPr="00484B4D">
              <w:t>df2</w:t>
            </w:r>
          </w:p>
        </w:tc>
        <w:tc>
          <w:tcPr>
            <w:tcW w:w="1044" w:type="dxa"/>
            <w:tcBorders>
              <w:top w:val="nil"/>
              <w:left w:val="single" w:sz="8" w:space="0" w:color="E0E0E0"/>
              <w:bottom w:val="single" w:sz="8" w:space="0" w:color="152935"/>
              <w:right w:val="nil"/>
            </w:tcBorders>
            <w:shd w:val="clear" w:color="auto" w:fill="FFFFFF"/>
            <w:vAlign w:val="bottom"/>
          </w:tcPr>
          <w:p w14:paraId="288A5721" w14:textId="77777777" w:rsidR="00CB3015" w:rsidRPr="00484B4D" w:rsidRDefault="00CB3015" w:rsidP="00CB3015">
            <w:r w:rsidRPr="00484B4D">
              <w:t>Sig.</w:t>
            </w:r>
          </w:p>
        </w:tc>
      </w:tr>
      <w:tr w:rsidR="00CB3015" w:rsidRPr="00250770" w14:paraId="3E51DF64" w14:textId="77777777" w:rsidTr="005505BC">
        <w:trPr>
          <w:cantSplit/>
          <w:jc w:val="center"/>
        </w:trPr>
        <w:tc>
          <w:tcPr>
            <w:tcW w:w="1044" w:type="dxa"/>
            <w:tcBorders>
              <w:top w:val="single" w:sz="8" w:space="0" w:color="152935"/>
              <w:left w:val="nil"/>
              <w:bottom w:val="single" w:sz="8" w:space="0" w:color="152935"/>
              <w:right w:val="single" w:sz="8" w:space="0" w:color="E0E0E0"/>
            </w:tcBorders>
            <w:shd w:val="clear" w:color="auto" w:fill="FFFFFF"/>
          </w:tcPr>
          <w:p w14:paraId="6FCA9C4C" w14:textId="77777777" w:rsidR="00CB3015" w:rsidRPr="00484B4D" w:rsidRDefault="00CB3015" w:rsidP="00CB3015">
            <w:r w:rsidRPr="00484B4D">
              <w:t>.085</w:t>
            </w:r>
          </w:p>
        </w:tc>
        <w:tc>
          <w:tcPr>
            <w:tcW w:w="1044" w:type="dxa"/>
            <w:tcBorders>
              <w:top w:val="single" w:sz="8" w:space="0" w:color="152935"/>
              <w:left w:val="single" w:sz="8" w:space="0" w:color="E0E0E0"/>
              <w:bottom w:val="single" w:sz="8" w:space="0" w:color="152935"/>
              <w:right w:val="single" w:sz="8" w:space="0" w:color="E0E0E0"/>
            </w:tcBorders>
            <w:shd w:val="clear" w:color="auto" w:fill="FFFFFF"/>
          </w:tcPr>
          <w:p w14:paraId="4ADAF057" w14:textId="77777777" w:rsidR="00CB3015" w:rsidRPr="00484B4D" w:rsidRDefault="00CB3015" w:rsidP="00CB3015">
            <w:r w:rsidRPr="00484B4D">
              <w:t>1</w:t>
            </w:r>
          </w:p>
        </w:tc>
        <w:tc>
          <w:tcPr>
            <w:tcW w:w="1044" w:type="dxa"/>
            <w:tcBorders>
              <w:top w:val="single" w:sz="8" w:space="0" w:color="152935"/>
              <w:left w:val="single" w:sz="8" w:space="0" w:color="E0E0E0"/>
              <w:bottom w:val="single" w:sz="8" w:space="0" w:color="152935"/>
              <w:right w:val="single" w:sz="8" w:space="0" w:color="E0E0E0"/>
            </w:tcBorders>
            <w:shd w:val="clear" w:color="auto" w:fill="FFFFFF"/>
          </w:tcPr>
          <w:p w14:paraId="4C4326A0" w14:textId="77777777" w:rsidR="00CB3015" w:rsidRPr="00484B4D" w:rsidRDefault="00CB3015" w:rsidP="00CB3015">
            <w:r w:rsidRPr="00484B4D">
              <w:t>99</w:t>
            </w:r>
          </w:p>
        </w:tc>
        <w:tc>
          <w:tcPr>
            <w:tcW w:w="1044" w:type="dxa"/>
            <w:tcBorders>
              <w:top w:val="single" w:sz="8" w:space="0" w:color="152935"/>
              <w:left w:val="single" w:sz="8" w:space="0" w:color="E0E0E0"/>
              <w:bottom w:val="single" w:sz="8" w:space="0" w:color="152935"/>
              <w:right w:val="nil"/>
            </w:tcBorders>
            <w:shd w:val="clear" w:color="auto" w:fill="FFFFFF"/>
          </w:tcPr>
          <w:p w14:paraId="472DACFA" w14:textId="77777777" w:rsidR="00CB3015" w:rsidRPr="00484B4D" w:rsidRDefault="00CB3015" w:rsidP="00CB3015">
            <w:r w:rsidRPr="00484B4D">
              <w:t>.771</w:t>
            </w:r>
          </w:p>
        </w:tc>
      </w:tr>
      <w:tr w:rsidR="00CB3015" w:rsidRPr="00250770" w14:paraId="58016B3B" w14:textId="77777777" w:rsidTr="005505BC">
        <w:trPr>
          <w:cantSplit/>
          <w:jc w:val="center"/>
        </w:trPr>
        <w:tc>
          <w:tcPr>
            <w:tcW w:w="4176" w:type="dxa"/>
            <w:gridSpan w:val="4"/>
            <w:tcBorders>
              <w:top w:val="nil"/>
              <w:left w:val="nil"/>
              <w:bottom w:val="nil"/>
              <w:right w:val="nil"/>
            </w:tcBorders>
            <w:shd w:val="clear" w:color="auto" w:fill="FFFFFF"/>
          </w:tcPr>
          <w:p w14:paraId="65F3E0BC" w14:textId="77777777" w:rsidR="00CB3015" w:rsidRPr="00484B4D" w:rsidRDefault="00CB3015" w:rsidP="00CB3015">
            <w:r w:rsidRPr="00484B4D">
              <w:t>Tests the null hypothesis that the error variance of the dependent variable is equal across groups.</w:t>
            </w:r>
          </w:p>
        </w:tc>
      </w:tr>
      <w:tr w:rsidR="00CB3015" w:rsidRPr="00250770" w14:paraId="2526B5EC" w14:textId="77777777" w:rsidTr="005505BC">
        <w:trPr>
          <w:cantSplit/>
          <w:jc w:val="center"/>
        </w:trPr>
        <w:tc>
          <w:tcPr>
            <w:tcW w:w="4176" w:type="dxa"/>
            <w:gridSpan w:val="4"/>
            <w:tcBorders>
              <w:top w:val="nil"/>
              <w:left w:val="nil"/>
              <w:bottom w:val="nil"/>
              <w:right w:val="nil"/>
            </w:tcBorders>
            <w:shd w:val="clear" w:color="auto" w:fill="FFFFFF"/>
          </w:tcPr>
          <w:p w14:paraId="497B9598" w14:textId="77777777" w:rsidR="00CB3015" w:rsidRPr="00484B4D" w:rsidRDefault="00CB3015" w:rsidP="00CB3015">
            <w:r w:rsidRPr="00484B4D">
              <w:t>a. Design: Intercept + group + readinganxiety1 + group * readinganxiety1</w:t>
            </w:r>
          </w:p>
        </w:tc>
      </w:tr>
    </w:tbl>
    <w:p w14:paraId="591DE012" w14:textId="77777777" w:rsidR="00CB3015" w:rsidRPr="006D0C3A" w:rsidRDefault="00CB3015" w:rsidP="00CB3015">
      <w:pPr>
        <w:autoSpaceDE w:val="0"/>
        <w:autoSpaceDN w:val="0"/>
        <w:adjustRightInd w:val="0"/>
        <w:spacing w:after="0" w:line="400" w:lineRule="atLeast"/>
        <w:rPr>
          <w:rFonts w:ascii="Times New Roman" w:hAnsi="Times New Roman" w:cs="Times New Roman"/>
          <w:sz w:val="24"/>
          <w:szCs w:val="24"/>
        </w:rPr>
      </w:pPr>
    </w:p>
    <w:p w14:paraId="6A29FB5D" w14:textId="7ED26247"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lastRenderedPageBreak/>
        <w:t xml:space="preserve">As it is displayed in table 3 titled </w:t>
      </w:r>
      <w:proofErr w:type="spellStart"/>
      <w:r w:rsidRPr="00B47A38">
        <w:rPr>
          <w:rFonts w:asciiTheme="majorBidi" w:hAnsiTheme="majorBidi" w:cstheme="majorBidi"/>
        </w:rPr>
        <w:t>levene's</w:t>
      </w:r>
      <w:proofErr w:type="spellEnd"/>
      <w:r w:rsidRPr="00B47A38">
        <w:rPr>
          <w:rFonts w:asciiTheme="majorBidi" w:hAnsiTheme="majorBidi" w:cstheme="majorBidi"/>
        </w:rPr>
        <w:t xml:space="preserve"> Test of Equality of Error Variances, the significance is .77, which means that the assumption of error variances has been met and the </w:t>
      </w:r>
      <w:r w:rsidR="00A64747" w:rsidRPr="00B47A38">
        <w:rPr>
          <w:rFonts w:asciiTheme="majorBidi" w:hAnsiTheme="majorBidi" w:cstheme="majorBidi"/>
        </w:rPr>
        <w:t>researchers</w:t>
      </w:r>
      <w:r w:rsidRPr="00B47A38">
        <w:rPr>
          <w:rFonts w:asciiTheme="majorBidi" w:hAnsiTheme="majorBidi" w:cstheme="majorBidi"/>
        </w:rPr>
        <w:t xml:space="preserve"> is able to proceed with the rest of analysis without taking a more conservative p-value. </w:t>
      </w:r>
    </w:p>
    <w:tbl>
      <w:tblPr>
        <w:tblW w:w="9780"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2287"/>
        <w:gridCol w:w="1484"/>
        <w:gridCol w:w="1035"/>
        <w:gridCol w:w="1421"/>
        <w:gridCol w:w="1035"/>
        <w:gridCol w:w="1035"/>
        <w:gridCol w:w="1483"/>
      </w:tblGrid>
      <w:tr w:rsidR="00CB3015" w:rsidRPr="00250770" w14:paraId="0CA47C2C" w14:textId="77777777" w:rsidTr="005505BC">
        <w:trPr>
          <w:cantSplit/>
          <w:jc w:val="center"/>
        </w:trPr>
        <w:tc>
          <w:tcPr>
            <w:tcW w:w="9780" w:type="dxa"/>
            <w:gridSpan w:val="7"/>
            <w:shd w:val="clear" w:color="auto" w:fill="FFFFFF" w:themeFill="background1"/>
            <w:vAlign w:val="center"/>
          </w:tcPr>
          <w:p w14:paraId="679CFD0B" w14:textId="58D864AC" w:rsidR="00CB3015" w:rsidRPr="00250770" w:rsidRDefault="00CB3015" w:rsidP="005505BC">
            <w:pPr>
              <w:autoSpaceDE w:val="0"/>
              <w:autoSpaceDN w:val="0"/>
              <w:adjustRightInd w:val="0"/>
              <w:spacing w:after="0" w:line="320" w:lineRule="atLeast"/>
              <w:ind w:left="60" w:right="60"/>
              <w:jc w:val="center"/>
              <w:rPr>
                <w:rFonts w:asciiTheme="majorBidi" w:hAnsiTheme="majorBidi" w:cstheme="majorBidi"/>
                <w:color w:val="000000" w:themeColor="text1"/>
              </w:rPr>
            </w:pPr>
            <w:r w:rsidRPr="00250770">
              <w:rPr>
                <w:rFonts w:asciiTheme="majorBidi" w:hAnsiTheme="majorBidi" w:cstheme="majorBidi"/>
                <w:b/>
                <w:bCs/>
                <w:color w:val="000000" w:themeColor="text1"/>
              </w:rPr>
              <w:t xml:space="preserve">Table 4 </w:t>
            </w:r>
            <w:bookmarkStart w:id="1" w:name="_Hlk81937637"/>
            <w:r w:rsidRPr="00250770">
              <w:rPr>
                <w:rFonts w:asciiTheme="majorBidi" w:hAnsiTheme="majorBidi" w:cstheme="majorBidi"/>
                <w:b/>
                <w:bCs/>
                <w:color w:val="000000" w:themeColor="text1"/>
              </w:rPr>
              <w:t>Tests of Between-Subjects Effects</w:t>
            </w:r>
            <w:bookmarkEnd w:id="1"/>
          </w:p>
        </w:tc>
      </w:tr>
      <w:tr w:rsidR="00CB3015" w:rsidRPr="00250770" w14:paraId="2CF192B1" w14:textId="77777777" w:rsidTr="005505BC">
        <w:trPr>
          <w:cantSplit/>
          <w:jc w:val="center"/>
        </w:trPr>
        <w:tc>
          <w:tcPr>
            <w:tcW w:w="9780" w:type="dxa"/>
            <w:gridSpan w:val="7"/>
            <w:shd w:val="clear" w:color="auto" w:fill="FFFFFF" w:themeFill="background1"/>
            <w:vAlign w:val="bottom"/>
          </w:tcPr>
          <w:p w14:paraId="1D3C4A0D" w14:textId="77777777" w:rsidR="00CB3015" w:rsidRPr="00250770" w:rsidRDefault="00CB3015" w:rsidP="005505BC">
            <w:pPr>
              <w:autoSpaceDE w:val="0"/>
              <w:autoSpaceDN w:val="0"/>
              <w:adjustRightInd w:val="0"/>
              <w:spacing w:after="0" w:line="320" w:lineRule="atLeast"/>
              <w:rPr>
                <w:rFonts w:asciiTheme="majorBidi" w:hAnsiTheme="majorBidi" w:cstheme="majorBidi"/>
                <w:color w:val="000000" w:themeColor="text1"/>
                <w:sz w:val="24"/>
                <w:szCs w:val="24"/>
              </w:rPr>
            </w:pPr>
            <w:r w:rsidRPr="00250770">
              <w:rPr>
                <w:rFonts w:asciiTheme="majorBidi" w:hAnsiTheme="majorBidi" w:cstheme="majorBidi"/>
                <w:color w:val="000000" w:themeColor="text1"/>
                <w:sz w:val="18"/>
                <w:szCs w:val="18"/>
                <w:shd w:val="clear" w:color="auto" w:fill="FFFFFF"/>
              </w:rPr>
              <w:t xml:space="preserve">Dependent Variable:   readinganxiety2  </w:t>
            </w:r>
          </w:p>
        </w:tc>
      </w:tr>
      <w:tr w:rsidR="00CB3015" w:rsidRPr="00250770" w14:paraId="56680010" w14:textId="77777777" w:rsidTr="005505BC">
        <w:trPr>
          <w:cantSplit/>
          <w:jc w:val="center"/>
        </w:trPr>
        <w:tc>
          <w:tcPr>
            <w:tcW w:w="2287" w:type="dxa"/>
            <w:shd w:val="clear" w:color="auto" w:fill="FFFFFF" w:themeFill="background1"/>
            <w:vAlign w:val="bottom"/>
          </w:tcPr>
          <w:p w14:paraId="4A954C18"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Source</w:t>
            </w:r>
          </w:p>
        </w:tc>
        <w:tc>
          <w:tcPr>
            <w:tcW w:w="1484" w:type="dxa"/>
            <w:shd w:val="clear" w:color="auto" w:fill="FFFFFF" w:themeFill="background1"/>
            <w:vAlign w:val="bottom"/>
          </w:tcPr>
          <w:p w14:paraId="5C950C9C"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Type III Sum of Squares</w:t>
            </w:r>
          </w:p>
        </w:tc>
        <w:tc>
          <w:tcPr>
            <w:tcW w:w="1035" w:type="dxa"/>
            <w:shd w:val="clear" w:color="auto" w:fill="FFFFFF" w:themeFill="background1"/>
            <w:vAlign w:val="bottom"/>
          </w:tcPr>
          <w:p w14:paraId="5D1198FB"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df</w:t>
            </w:r>
          </w:p>
        </w:tc>
        <w:tc>
          <w:tcPr>
            <w:tcW w:w="1421" w:type="dxa"/>
            <w:shd w:val="clear" w:color="auto" w:fill="FFFFFF" w:themeFill="background1"/>
            <w:vAlign w:val="bottom"/>
          </w:tcPr>
          <w:p w14:paraId="0726CCFF"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Mean Square</w:t>
            </w:r>
          </w:p>
        </w:tc>
        <w:tc>
          <w:tcPr>
            <w:tcW w:w="1035" w:type="dxa"/>
            <w:shd w:val="clear" w:color="auto" w:fill="FFFFFF" w:themeFill="background1"/>
            <w:vAlign w:val="bottom"/>
          </w:tcPr>
          <w:p w14:paraId="7693171E"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F</w:t>
            </w:r>
          </w:p>
        </w:tc>
        <w:tc>
          <w:tcPr>
            <w:tcW w:w="1035" w:type="dxa"/>
            <w:shd w:val="clear" w:color="auto" w:fill="FFFFFF" w:themeFill="background1"/>
            <w:vAlign w:val="bottom"/>
          </w:tcPr>
          <w:p w14:paraId="03EADADB"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Sig.</w:t>
            </w:r>
          </w:p>
        </w:tc>
        <w:tc>
          <w:tcPr>
            <w:tcW w:w="1483" w:type="dxa"/>
            <w:shd w:val="clear" w:color="auto" w:fill="FFFFFF" w:themeFill="background1"/>
            <w:vAlign w:val="bottom"/>
          </w:tcPr>
          <w:p w14:paraId="63DAA7E6"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Partial Eta Squared</w:t>
            </w:r>
          </w:p>
        </w:tc>
      </w:tr>
      <w:tr w:rsidR="00CB3015" w:rsidRPr="00250770" w14:paraId="255DA3BE" w14:textId="77777777" w:rsidTr="005505BC">
        <w:trPr>
          <w:cantSplit/>
          <w:jc w:val="center"/>
        </w:trPr>
        <w:tc>
          <w:tcPr>
            <w:tcW w:w="2287" w:type="dxa"/>
            <w:shd w:val="clear" w:color="auto" w:fill="FFFFFF" w:themeFill="background1"/>
          </w:tcPr>
          <w:p w14:paraId="6ED75A06"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Corrected Model</w:t>
            </w:r>
          </w:p>
        </w:tc>
        <w:tc>
          <w:tcPr>
            <w:tcW w:w="1484" w:type="dxa"/>
            <w:shd w:val="clear" w:color="auto" w:fill="FFFFFF" w:themeFill="background1"/>
          </w:tcPr>
          <w:p w14:paraId="56A58DD1"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3359.148</w:t>
            </w:r>
            <w:r w:rsidRPr="00250770">
              <w:rPr>
                <w:rFonts w:asciiTheme="majorBidi" w:hAnsiTheme="majorBidi" w:cstheme="majorBidi"/>
                <w:color w:val="000000" w:themeColor="text1"/>
                <w:sz w:val="18"/>
                <w:szCs w:val="18"/>
                <w:vertAlign w:val="superscript"/>
              </w:rPr>
              <w:t>a</w:t>
            </w:r>
          </w:p>
        </w:tc>
        <w:tc>
          <w:tcPr>
            <w:tcW w:w="1035" w:type="dxa"/>
            <w:shd w:val="clear" w:color="auto" w:fill="FFFFFF" w:themeFill="background1"/>
          </w:tcPr>
          <w:p w14:paraId="283E6BA9"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w:t>
            </w:r>
          </w:p>
        </w:tc>
        <w:tc>
          <w:tcPr>
            <w:tcW w:w="1421" w:type="dxa"/>
            <w:shd w:val="clear" w:color="auto" w:fill="FFFFFF" w:themeFill="background1"/>
          </w:tcPr>
          <w:p w14:paraId="7DB4F8F9"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1119.716</w:t>
            </w:r>
          </w:p>
        </w:tc>
        <w:tc>
          <w:tcPr>
            <w:tcW w:w="1035" w:type="dxa"/>
            <w:shd w:val="clear" w:color="auto" w:fill="FFFFFF" w:themeFill="background1"/>
          </w:tcPr>
          <w:p w14:paraId="22C06CB5"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24.977</w:t>
            </w:r>
          </w:p>
        </w:tc>
        <w:tc>
          <w:tcPr>
            <w:tcW w:w="1035" w:type="dxa"/>
            <w:shd w:val="clear" w:color="auto" w:fill="FFFFFF" w:themeFill="background1"/>
          </w:tcPr>
          <w:p w14:paraId="4B172628"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.000</w:t>
            </w:r>
          </w:p>
        </w:tc>
        <w:tc>
          <w:tcPr>
            <w:tcW w:w="1483" w:type="dxa"/>
            <w:shd w:val="clear" w:color="auto" w:fill="FFFFFF" w:themeFill="background1"/>
          </w:tcPr>
          <w:p w14:paraId="521FB488"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.436</w:t>
            </w:r>
          </w:p>
        </w:tc>
      </w:tr>
      <w:tr w:rsidR="00CB3015" w:rsidRPr="00250770" w14:paraId="1FF5EEEB" w14:textId="77777777" w:rsidTr="005505BC">
        <w:trPr>
          <w:cantSplit/>
          <w:jc w:val="center"/>
        </w:trPr>
        <w:tc>
          <w:tcPr>
            <w:tcW w:w="2287" w:type="dxa"/>
            <w:shd w:val="clear" w:color="auto" w:fill="FFFFFF" w:themeFill="background1"/>
          </w:tcPr>
          <w:p w14:paraId="145F7DCD"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Intercept</w:t>
            </w:r>
          </w:p>
        </w:tc>
        <w:tc>
          <w:tcPr>
            <w:tcW w:w="1484" w:type="dxa"/>
            <w:shd w:val="clear" w:color="auto" w:fill="FFFFFF" w:themeFill="background1"/>
          </w:tcPr>
          <w:p w14:paraId="2E69E9C8"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1518.316</w:t>
            </w:r>
          </w:p>
        </w:tc>
        <w:tc>
          <w:tcPr>
            <w:tcW w:w="1035" w:type="dxa"/>
            <w:shd w:val="clear" w:color="auto" w:fill="FFFFFF" w:themeFill="background1"/>
          </w:tcPr>
          <w:p w14:paraId="303A5BFF"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w:t>
            </w:r>
          </w:p>
        </w:tc>
        <w:tc>
          <w:tcPr>
            <w:tcW w:w="1421" w:type="dxa"/>
            <w:shd w:val="clear" w:color="auto" w:fill="FFFFFF" w:themeFill="background1"/>
          </w:tcPr>
          <w:p w14:paraId="49E82445"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1518.316</w:t>
            </w:r>
          </w:p>
        </w:tc>
        <w:tc>
          <w:tcPr>
            <w:tcW w:w="1035" w:type="dxa"/>
            <w:shd w:val="clear" w:color="auto" w:fill="FFFFFF" w:themeFill="background1"/>
          </w:tcPr>
          <w:p w14:paraId="69C454B7"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33.868</w:t>
            </w:r>
          </w:p>
        </w:tc>
        <w:tc>
          <w:tcPr>
            <w:tcW w:w="1035" w:type="dxa"/>
            <w:shd w:val="clear" w:color="auto" w:fill="FFFFFF" w:themeFill="background1"/>
          </w:tcPr>
          <w:p w14:paraId="2BF2CEAB"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.000</w:t>
            </w:r>
          </w:p>
        </w:tc>
        <w:tc>
          <w:tcPr>
            <w:tcW w:w="1483" w:type="dxa"/>
            <w:shd w:val="clear" w:color="auto" w:fill="FFFFFF" w:themeFill="background1"/>
          </w:tcPr>
          <w:p w14:paraId="1CEF35F6"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.259</w:t>
            </w:r>
          </w:p>
        </w:tc>
      </w:tr>
      <w:tr w:rsidR="00CB3015" w:rsidRPr="00250770" w14:paraId="799646D3" w14:textId="77777777" w:rsidTr="005505BC">
        <w:trPr>
          <w:cantSplit/>
          <w:jc w:val="center"/>
        </w:trPr>
        <w:tc>
          <w:tcPr>
            <w:tcW w:w="2287" w:type="dxa"/>
            <w:shd w:val="clear" w:color="auto" w:fill="FFFFFF" w:themeFill="background1"/>
          </w:tcPr>
          <w:p w14:paraId="38DB6AF7"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group</w:t>
            </w:r>
          </w:p>
        </w:tc>
        <w:tc>
          <w:tcPr>
            <w:tcW w:w="1484" w:type="dxa"/>
            <w:shd w:val="clear" w:color="auto" w:fill="FFFFFF" w:themeFill="background1"/>
          </w:tcPr>
          <w:p w14:paraId="54A3450B"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112.729</w:t>
            </w:r>
          </w:p>
        </w:tc>
        <w:tc>
          <w:tcPr>
            <w:tcW w:w="1035" w:type="dxa"/>
            <w:shd w:val="clear" w:color="auto" w:fill="FFFFFF" w:themeFill="background1"/>
          </w:tcPr>
          <w:p w14:paraId="169CA37F"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w:t>
            </w:r>
          </w:p>
        </w:tc>
        <w:tc>
          <w:tcPr>
            <w:tcW w:w="1421" w:type="dxa"/>
            <w:shd w:val="clear" w:color="auto" w:fill="FFFFFF" w:themeFill="background1"/>
          </w:tcPr>
          <w:p w14:paraId="1238F337"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112.729</w:t>
            </w:r>
          </w:p>
        </w:tc>
        <w:tc>
          <w:tcPr>
            <w:tcW w:w="1035" w:type="dxa"/>
            <w:shd w:val="clear" w:color="auto" w:fill="FFFFFF" w:themeFill="background1"/>
          </w:tcPr>
          <w:p w14:paraId="2DD741AC"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2.515</w:t>
            </w:r>
          </w:p>
        </w:tc>
        <w:tc>
          <w:tcPr>
            <w:tcW w:w="1035" w:type="dxa"/>
            <w:shd w:val="clear" w:color="auto" w:fill="FFFFFF" w:themeFill="background1"/>
          </w:tcPr>
          <w:p w14:paraId="35FF4245"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.116</w:t>
            </w:r>
          </w:p>
        </w:tc>
        <w:tc>
          <w:tcPr>
            <w:tcW w:w="1483" w:type="dxa"/>
            <w:shd w:val="clear" w:color="auto" w:fill="FFFFFF" w:themeFill="background1"/>
          </w:tcPr>
          <w:p w14:paraId="1C9E224B"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.025</w:t>
            </w:r>
          </w:p>
        </w:tc>
      </w:tr>
      <w:tr w:rsidR="00CB3015" w:rsidRPr="00250770" w14:paraId="1937ADBF" w14:textId="77777777" w:rsidTr="005505BC">
        <w:trPr>
          <w:cantSplit/>
          <w:jc w:val="center"/>
        </w:trPr>
        <w:tc>
          <w:tcPr>
            <w:tcW w:w="2287" w:type="dxa"/>
            <w:shd w:val="clear" w:color="auto" w:fill="FFFFFF" w:themeFill="background1"/>
          </w:tcPr>
          <w:p w14:paraId="1527F39B"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readinganxiety1</w:t>
            </w:r>
          </w:p>
        </w:tc>
        <w:tc>
          <w:tcPr>
            <w:tcW w:w="1484" w:type="dxa"/>
            <w:shd w:val="clear" w:color="auto" w:fill="FFFFFF" w:themeFill="background1"/>
          </w:tcPr>
          <w:p w14:paraId="38B94AF7"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3326.599</w:t>
            </w:r>
          </w:p>
        </w:tc>
        <w:tc>
          <w:tcPr>
            <w:tcW w:w="1035" w:type="dxa"/>
            <w:shd w:val="clear" w:color="auto" w:fill="FFFFFF" w:themeFill="background1"/>
          </w:tcPr>
          <w:p w14:paraId="377DAE69"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w:t>
            </w:r>
          </w:p>
        </w:tc>
        <w:tc>
          <w:tcPr>
            <w:tcW w:w="1421" w:type="dxa"/>
            <w:shd w:val="clear" w:color="auto" w:fill="FFFFFF" w:themeFill="background1"/>
          </w:tcPr>
          <w:p w14:paraId="6B98D353"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3326.599</w:t>
            </w:r>
          </w:p>
        </w:tc>
        <w:tc>
          <w:tcPr>
            <w:tcW w:w="1035" w:type="dxa"/>
            <w:shd w:val="clear" w:color="auto" w:fill="FFFFFF" w:themeFill="background1"/>
          </w:tcPr>
          <w:p w14:paraId="60F0078B"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74.204</w:t>
            </w:r>
          </w:p>
        </w:tc>
        <w:tc>
          <w:tcPr>
            <w:tcW w:w="1035" w:type="dxa"/>
            <w:shd w:val="clear" w:color="auto" w:fill="FFFFFF" w:themeFill="background1"/>
          </w:tcPr>
          <w:p w14:paraId="735E4B04"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.000</w:t>
            </w:r>
          </w:p>
        </w:tc>
        <w:tc>
          <w:tcPr>
            <w:tcW w:w="1483" w:type="dxa"/>
            <w:shd w:val="clear" w:color="auto" w:fill="FFFFFF" w:themeFill="background1"/>
          </w:tcPr>
          <w:p w14:paraId="0370CB66"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.433</w:t>
            </w:r>
          </w:p>
        </w:tc>
      </w:tr>
      <w:tr w:rsidR="00CB3015" w:rsidRPr="00250770" w14:paraId="7B219A5B" w14:textId="77777777" w:rsidTr="005505BC">
        <w:trPr>
          <w:cantSplit/>
          <w:jc w:val="center"/>
        </w:trPr>
        <w:tc>
          <w:tcPr>
            <w:tcW w:w="2287" w:type="dxa"/>
            <w:shd w:val="clear" w:color="auto" w:fill="FFFFFF" w:themeFill="background1"/>
          </w:tcPr>
          <w:p w14:paraId="081139E1"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group * readinganxiety1</w:t>
            </w:r>
          </w:p>
        </w:tc>
        <w:tc>
          <w:tcPr>
            <w:tcW w:w="1484" w:type="dxa"/>
            <w:shd w:val="clear" w:color="auto" w:fill="FFFFFF" w:themeFill="background1"/>
          </w:tcPr>
          <w:p w14:paraId="17E616C7"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90.638</w:t>
            </w:r>
          </w:p>
        </w:tc>
        <w:tc>
          <w:tcPr>
            <w:tcW w:w="1035" w:type="dxa"/>
            <w:shd w:val="clear" w:color="auto" w:fill="FFFFFF" w:themeFill="background1"/>
          </w:tcPr>
          <w:p w14:paraId="71047FF2"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w:t>
            </w:r>
          </w:p>
        </w:tc>
        <w:tc>
          <w:tcPr>
            <w:tcW w:w="1421" w:type="dxa"/>
            <w:shd w:val="clear" w:color="auto" w:fill="FFFFFF" w:themeFill="background1"/>
          </w:tcPr>
          <w:p w14:paraId="54AD54D5"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90.638</w:t>
            </w:r>
          </w:p>
        </w:tc>
        <w:tc>
          <w:tcPr>
            <w:tcW w:w="1035" w:type="dxa"/>
            <w:shd w:val="clear" w:color="auto" w:fill="FFFFFF" w:themeFill="background1"/>
          </w:tcPr>
          <w:p w14:paraId="189C5B34"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2.022</w:t>
            </w:r>
          </w:p>
        </w:tc>
        <w:tc>
          <w:tcPr>
            <w:tcW w:w="1035" w:type="dxa"/>
            <w:shd w:val="clear" w:color="auto" w:fill="FFFFFF" w:themeFill="background1"/>
          </w:tcPr>
          <w:p w14:paraId="41639BFA"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.158</w:t>
            </w:r>
          </w:p>
        </w:tc>
        <w:tc>
          <w:tcPr>
            <w:tcW w:w="1483" w:type="dxa"/>
            <w:shd w:val="clear" w:color="auto" w:fill="FFFFFF" w:themeFill="background1"/>
          </w:tcPr>
          <w:p w14:paraId="2563A79B"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.020</w:t>
            </w:r>
          </w:p>
        </w:tc>
      </w:tr>
      <w:tr w:rsidR="00CB3015" w:rsidRPr="00250770" w14:paraId="26AA0CBF" w14:textId="77777777" w:rsidTr="005505BC">
        <w:trPr>
          <w:cantSplit/>
          <w:jc w:val="center"/>
        </w:trPr>
        <w:tc>
          <w:tcPr>
            <w:tcW w:w="2287" w:type="dxa"/>
            <w:shd w:val="clear" w:color="auto" w:fill="FFFFFF" w:themeFill="background1"/>
          </w:tcPr>
          <w:p w14:paraId="532B85FA"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Error</w:t>
            </w:r>
          </w:p>
        </w:tc>
        <w:tc>
          <w:tcPr>
            <w:tcW w:w="1484" w:type="dxa"/>
            <w:shd w:val="clear" w:color="auto" w:fill="FFFFFF" w:themeFill="background1"/>
          </w:tcPr>
          <w:p w14:paraId="47BF9778"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4348.555</w:t>
            </w:r>
          </w:p>
        </w:tc>
        <w:tc>
          <w:tcPr>
            <w:tcW w:w="1035" w:type="dxa"/>
            <w:shd w:val="clear" w:color="auto" w:fill="FFFFFF" w:themeFill="background1"/>
          </w:tcPr>
          <w:p w14:paraId="1C22B3A8" w14:textId="77777777" w:rsidR="00CB3015" w:rsidRPr="00250770" w:rsidRDefault="00CB3015" w:rsidP="005505BC">
            <w:pPr>
              <w:autoSpaceDE w:val="0"/>
              <w:autoSpaceDN w:val="0"/>
              <w:adjustRightInd w:val="0"/>
              <w:spacing w:after="0" w:line="320" w:lineRule="atLeast"/>
              <w:ind w:left="60" w:right="60"/>
              <w:jc w:val="right"/>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97</w:t>
            </w:r>
          </w:p>
        </w:tc>
        <w:tc>
          <w:tcPr>
            <w:tcW w:w="1421" w:type="dxa"/>
            <w:shd w:val="clear" w:color="auto" w:fill="FFFFFF" w:themeFill="background1"/>
          </w:tcPr>
          <w:p w14:paraId="7A52FE6F" w14:textId="77777777" w:rsidR="00CB3015" w:rsidRPr="00250770" w:rsidRDefault="00CB3015" w:rsidP="005505BC">
            <w:pPr>
              <w:autoSpaceDE w:val="0"/>
              <w:autoSpaceDN w:val="0"/>
              <w:adjustRightInd w:val="0"/>
              <w:spacing w:after="0" w:line="320" w:lineRule="atLeast"/>
              <w:ind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44.830</w:t>
            </w:r>
          </w:p>
        </w:tc>
        <w:tc>
          <w:tcPr>
            <w:tcW w:w="1035" w:type="dxa"/>
            <w:shd w:val="clear" w:color="auto" w:fill="FFFFFF" w:themeFill="background1"/>
            <w:vAlign w:val="center"/>
          </w:tcPr>
          <w:p w14:paraId="5CF7D053"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035" w:type="dxa"/>
            <w:shd w:val="clear" w:color="auto" w:fill="FFFFFF" w:themeFill="background1"/>
            <w:vAlign w:val="center"/>
          </w:tcPr>
          <w:p w14:paraId="29FFDE7D"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483" w:type="dxa"/>
            <w:shd w:val="clear" w:color="auto" w:fill="FFFFFF" w:themeFill="background1"/>
            <w:vAlign w:val="center"/>
          </w:tcPr>
          <w:p w14:paraId="58072F2F"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r>
      <w:tr w:rsidR="00CB3015" w:rsidRPr="00250770" w14:paraId="309A5920" w14:textId="77777777" w:rsidTr="005505BC">
        <w:trPr>
          <w:cantSplit/>
          <w:jc w:val="center"/>
        </w:trPr>
        <w:tc>
          <w:tcPr>
            <w:tcW w:w="2287" w:type="dxa"/>
            <w:shd w:val="clear" w:color="auto" w:fill="FFFFFF" w:themeFill="background1"/>
          </w:tcPr>
          <w:p w14:paraId="64B7B9BA"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Total</w:t>
            </w:r>
          </w:p>
        </w:tc>
        <w:tc>
          <w:tcPr>
            <w:tcW w:w="1484" w:type="dxa"/>
            <w:shd w:val="clear" w:color="auto" w:fill="FFFFFF" w:themeFill="background1"/>
          </w:tcPr>
          <w:p w14:paraId="775CF334"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328714.000</w:t>
            </w:r>
          </w:p>
        </w:tc>
        <w:tc>
          <w:tcPr>
            <w:tcW w:w="1035" w:type="dxa"/>
            <w:shd w:val="clear" w:color="auto" w:fill="FFFFFF" w:themeFill="background1"/>
          </w:tcPr>
          <w:p w14:paraId="43EAFB8A"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101</w:t>
            </w:r>
          </w:p>
        </w:tc>
        <w:tc>
          <w:tcPr>
            <w:tcW w:w="1421" w:type="dxa"/>
            <w:shd w:val="clear" w:color="auto" w:fill="FFFFFF" w:themeFill="background1"/>
            <w:vAlign w:val="center"/>
          </w:tcPr>
          <w:p w14:paraId="28C0BB78"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035" w:type="dxa"/>
            <w:shd w:val="clear" w:color="auto" w:fill="FFFFFF" w:themeFill="background1"/>
            <w:vAlign w:val="center"/>
          </w:tcPr>
          <w:p w14:paraId="04E4B860"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035" w:type="dxa"/>
            <w:shd w:val="clear" w:color="auto" w:fill="FFFFFF" w:themeFill="background1"/>
            <w:vAlign w:val="center"/>
          </w:tcPr>
          <w:p w14:paraId="5581DCD1"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483" w:type="dxa"/>
            <w:shd w:val="clear" w:color="auto" w:fill="FFFFFF" w:themeFill="background1"/>
            <w:vAlign w:val="center"/>
          </w:tcPr>
          <w:p w14:paraId="720122A0"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r>
      <w:tr w:rsidR="00CB3015" w:rsidRPr="00250770" w14:paraId="15C38CFB" w14:textId="77777777" w:rsidTr="005505BC">
        <w:trPr>
          <w:cantSplit/>
          <w:jc w:val="center"/>
        </w:trPr>
        <w:tc>
          <w:tcPr>
            <w:tcW w:w="2287" w:type="dxa"/>
            <w:shd w:val="clear" w:color="auto" w:fill="FFFFFF" w:themeFill="background1"/>
          </w:tcPr>
          <w:p w14:paraId="2C59E3FD"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Corrected Total</w:t>
            </w:r>
          </w:p>
        </w:tc>
        <w:tc>
          <w:tcPr>
            <w:tcW w:w="1484" w:type="dxa"/>
            <w:shd w:val="clear" w:color="auto" w:fill="FFFFFF" w:themeFill="background1"/>
          </w:tcPr>
          <w:p w14:paraId="0F8C1FB4"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7707.703</w:t>
            </w:r>
          </w:p>
        </w:tc>
        <w:tc>
          <w:tcPr>
            <w:tcW w:w="1035" w:type="dxa"/>
            <w:shd w:val="clear" w:color="auto" w:fill="FFFFFF" w:themeFill="background1"/>
          </w:tcPr>
          <w:p w14:paraId="0DA8F81D"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100</w:t>
            </w:r>
          </w:p>
        </w:tc>
        <w:tc>
          <w:tcPr>
            <w:tcW w:w="1421" w:type="dxa"/>
            <w:shd w:val="clear" w:color="auto" w:fill="FFFFFF" w:themeFill="background1"/>
            <w:vAlign w:val="center"/>
          </w:tcPr>
          <w:p w14:paraId="26431B19"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035" w:type="dxa"/>
            <w:shd w:val="clear" w:color="auto" w:fill="FFFFFF" w:themeFill="background1"/>
            <w:vAlign w:val="center"/>
          </w:tcPr>
          <w:p w14:paraId="77734826"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035" w:type="dxa"/>
            <w:shd w:val="clear" w:color="auto" w:fill="FFFFFF" w:themeFill="background1"/>
            <w:vAlign w:val="center"/>
          </w:tcPr>
          <w:p w14:paraId="1CA3D13E"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c>
          <w:tcPr>
            <w:tcW w:w="1483" w:type="dxa"/>
            <w:shd w:val="clear" w:color="auto" w:fill="FFFFFF" w:themeFill="background1"/>
            <w:vAlign w:val="center"/>
          </w:tcPr>
          <w:p w14:paraId="539EFFAE" w14:textId="77777777" w:rsidR="00CB3015" w:rsidRPr="00250770" w:rsidRDefault="00CB3015" w:rsidP="005505BC">
            <w:pPr>
              <w:autoSpaceDE w:val="0"/>
              <w:autoSpaceDN w:val="0"/>
              <w:adjustRightInd w:val="0"/>
              <w:spacing w:after="0" w:line="240" w:lineRule="auto"/>
              <w:rPr>
                <w:rFonts w:asciiTheme="majorBidi" w:hAnsiTheme="majorBidi" w:cstheme="majorBidi"/>
                <w:color w:val="000000" w:themeColor="text1"/>
                <w:sz w:val="24"/>
                <w:szCs w:val="24"/>
              </w:rPr>
            </w:pPr>
          </w:p>
        </w:tc>
      </w:tr>
      <w:tr w:rsidR="00CB3015" w:rsidRPr="00250770" w14:paraId="5F264A90" w14:textId="77777777" w:rsidTr="005505BC">
        <w:trPr>
          <w:cantSplit/>
          <w:jc w:val="center"/>
        </w:trPr>
        <w:tc>
          <w:tcPr>
            <w:tcW w:w="9780" w:type="dxa"/>
            <w:gridSpan w:val="7"/>
            <w:shd w:val="clear" w:color="auto" w:fill="FFFFFF" w:themeFill="background1"/>
          </w:tcPr>
          <w:p w14:paraId="0A0439B3" w14:textId="77777777" w:rsidR="00CB3015" w:rsidRPr="00250770" w:rsidRDefault="00CB3015" w:rsidP="005505BC">
            <w:pPr>
              <w:autoSpaceDE w:val="0"/>
              <w:autoSpaceDN w:val="0"/>
              <w:adjustRightInd w:val="0"/>
              <w:spacing w:after="0" w:line="320" w:lineRule="atLeast"/>
              <w:ind w:left="60" w:right="60"/>
              <w:rPr>
                <w:rFonts w:asciiTheme="majorBidi" w:hAnsiTheme="majorBidi" w:cstheme="majorBidi"/>
                <w:color w:val="000000" w:themeColor="text1"/>
                <w:sz w:val="18"/>
                <w:szCs w:val="18"/>
              </w:rPr>
            </w:pPr>
            <w:r w:rsidRPr="00250770">
              <w:rPr>
                <w:rFonts w:asciiTheme="majorBidi" w:hAnsiTheme="majorBidi" w:cstheme="majorBidi"/>
                <w:color w:val="000000" w:themeColor="text1"/>
                <w:sz w:val="18"/>
                <w:szCs w:val="18"/>
              </w:rPr>
              <w:t>a. R Squared = .436 (Adjusted R Squared = .418)</w:t>
            </w:r>
          </w:p>
        </w:tc>
      </w:tr>
    </w:tbl>
    <w:p w14:paraId="5B075B8A" w14:textId="77777777" w:rsidR="00CB3015" w:rsidRDefault="00CB3015" w:rsidP="00CB3015">
      <w:pPr>
        <w:rPr>
          <w:rFonts w:ascii="Times New Roman" w:hAnsi="Times New Roman" w:cs="Times New Roman"/>
          <w:sz w:val="24"/>
          <w:szCs w:val="24"/>
        </w:rPr>
      </w:pPr>
    </w:p>
    <w:p w14:paraId="444FA62F" w14:textId="009B0F74"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 xml:space="preserve">As Table 4 titled Tests of Between-Subject Effects shows, the interaction between group (treatment) and readinganxiety1 (covariate) turns out to be F (1, 101) = 2.02, p = .15, η = .02, which is not statistically significant, showing there is no significant interaction between the aforementioned variables. Hence, the results can be safely analyzed. </w:t>
      </w:r>
    </w:p>
    <w:p w14:paraId="3EA725E0" w14:textId="77777777"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 xml:space="preserve">The covariate (readinganxiety1) is significant (F (1, 101) = 74.20, p = .00, η = 0.43), meaning the effect of the pretest has been carried over from the beginning of the study up to the end of it. </w:t>
      </w:r>
    </w:p>
    <w:p w14:paraId="126C4FA1" w14:textId="6546DFBF"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 xml:space="preserve">Next, the treatment effect is to be examined. The results are seemingly significant (F (1, 101) = 2.51, p = .11). Nevertheless, it needs to be mentioned that since covariate is also significant, the </w:t>
      </w:r>
      <w:r w:rsidR="00A31618" w:rsidRPr="00B47A38">
        <w:rPr>
          <w:rFonts w:asciiTheme="majorBidi" w:hAnsiTheme="majorBidi" w:cstheme="majorBidi"/>
        </w:rPr>
        <w:t>researchers</w:t>
      </w:r>
      <w:r w:rsidRPr="00B47A38">
        <w:rPr>
          <w:rFonts w:asciiTheme="majorBidi" w:hAnsiTheme="majorBidi" w:cstheme="majorBidi"/>
        </w:rPr>
        <w:t xml:space="preserve"> </w:t>
      </w:r>
      <w:r w:rsidR="00A64747" w:rsidRPr="00B47A38">
        <w:rPr>
          <w:rFonts w:asciiTheme="majorBidi" w:hAnsiTheme="majorBidi" w:cstheme="majorBidi"/>
        </w:rPr>
        <w:t>have</w:t>
      </w:r>
      <w:r w:rsidRPr="00B47A38">
        <w:rPr>
          <w:rFonts w:asciiTheme="majorBidi" w:hAnsiTheme="majorBidi" w:cstheme="majorBidi"/>
        </w:rPr>
        <w:t xml:space="preserve"> to examine mean differences. </w:t>
      </w:r>
    </w:p>
    <w:p w14:paraId="603786E3" w14:textId="77777777" w:rsidR="00CB3015" w:rsidRPr="0027590C" w:rsidRDefault="00CB3015" w:rsidP="00CB3015">
      <w:pPr>
        <w:autoSpaceDE w:val="0"/>
        <w:autoSpaceDN w:val="0"/>
        <w:adjustRightInd w:val="0"/>
        <w:spacing w:after="0" w:line="240" w:lineRule="auto"/>
        <w:rPr>
          <w:rFonts w:ascii="Times New Roman" w:hAnsi="Times New Roman" w:cs="Times New Roman"/>
          <w:sz w:val="24"/>
          <w:szCs w:val="24"/>
        </w:rPr>
      </w:pPr>
    </w:p>
    <w:tbl>
      <w:tblPr>
        <w:tblW w:w="8765"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131"/>
        <w:gridCol w:w="1131"/>
        <w:gridCol w:w="1469"/>
        <w:gridCol w:w="1071"/>
        <w:gridCol w:w="1025"/>
        <w:gridCol w:w="1469"/>
        <w:gridCol w:w="1469"/>
      </w:tblGrid>
      <w:tr w:rsidR="00CB3015" w:rsidRPr="00AA6E3A" w14:paraId="66FC8638" w14:textId="77777777" w:rsidTr="005505BC">
        <w:trPr>
          <w:cantSplit/>
          <w:jc w:val="center"/>
        </w:trPr>
        <w:tc>
          <w:tcPr>
            <w:tcW w:w="8765" w:type="dxa"/>
            <w:gridSpan w:val="7"/>
            <w:shd w:val="clear" w:color="auto" w:fill="FFFFFF" w:themeFill="background1"/>
            <w:vAlign w:val="center"/>
          </w:tcPr>
          <w:p w14:paraId="771475EA" w14:textId="752AC66E" w:rsidR="00CB3015" w:rsidRPr="00CB3015" w:rsidRDefault="00CB3015" w:rsidP="00CB3015">
            <w:pPr>
              <w:jc w:val="center"/>
              <w:rPr>
                <w:b/>
                <w:bCs/>
              </w:rPr>
            </w:pPr>
            <w:r w:rsidRPr="00CB3015">
              <w:rPr>
                <w:b/>
                <w:bCs/>
              </w:rPr>
              <w:t xml:space="preserve">Table 5 </w:t>
            </w:r>
            <w:bookmarkStart w:id="2" w:name="_Hlk81937652"/>
            <w:r w:rsidRPr="00CB3015">
              <w:rPr>
                <w:b/>
                <w:bCs/>
              </w:rPr>
              <w:t>Pairwise Comparisons</w:t>
            </w:r>
            <w:bookmarkEnd w:id="2"/>
          </w:p>
        </w:tc>
      </w:tr>
      <w:tr w:rsidR="00CB3015" w:rsidRPr="00AA6E3A" w14:paraId="625FE8A3" w14:textId="77777777" w:rsidTr="005505BC">
        <w:trPr>
          <w:cantSplit/>
          <w:jc w:val="center"/>
        </w:trPr>
        <w:tc>
          <w:tcPr>
            <w:tcW w:w="8765" w:type="dxa"/>
            <w:gridSpan w:val="7"/>
            <w:shd w:val="clear" w:color="auto" w:fill="FFFFFF" w:themeFill="background1"/>
            <w:vAlign w:val="bottom"/>
          </w:tcPr>
          <w:p w14:paraId="00B6080F" w14:textId="77777777" w:rsidR="00CB3015" w:rsidRPr="00AA6E3A" w:rsidRDefault="00CB3015" w:rsidP="00CB3015">
            <w:r w:rsidRPr="00AA6E3A">
              <w:rPr>
                <w:shd w:val="clear" w:color="auto" w:fill="FFFFFF"/>
              </w:rPr>
              <w:t xml:space="preserve">Dependent Variable:   readinganxiety2  </w:t>
            </w:r>
          </w:p>
        </w:tc>
      </w:tr>
      <w:tr w:rsidR="00CB3015" w:rsidRPr="00AA6E3A" w14:paraId="592EDF76" w14:textId="77777777" w:rsidTr="005505BC">
        <w:trPr>
          <w:cantSplit/>
          <w:jc w:val="center"/>
        </w:trPr>
        <w:tc>
          <w:tcPr>
            <w:tcW w:w="1131" w:type="dxa"/>
            <w:vMerge w:val="restart"/>
            <w:shd w:val="clear" w:color="auto" w:fill="FFFFFF" w:themeFill="background1"/>
            <w:vAlign w:val="bottom"/>
          </w:tcPr>
          <w:p w14:paraId="146C901B" w14:textId="77777777" w:rsidR="00CB3015" w:rsidRPr="00AA6E3A" w:rsidRDefault="00CB3015" w:rsidP="00CB3015">
            <w:r w:rsidRPr="00AA6E3A">
              <w:t>(I) group</w:t>
            </w:r>
          </w:p>
        </w:tc>
        <w:tc>
          <w:tcPr>
            <w:tcW w:w="1131" w:type="dxa"/>
            <w:vMerge w:val="restart"/>
            <w:shd w:val="clear" w:color="auto" w:fill="FFFFFF" w:themeFill="background1"/>
            <w:vAlign w:val="bottom"/>
          </w:tcPr>
          <w:p w14:paraId="23E1276A" w14:textId="77777777" w:rsidR="00CB3015" w:rsidRPr="00AA6E3A" w:rsidRDefault="00CB3015" w:rsidP="00CB3015">
            <w:r w:rsidRPr="00AA6E3A">
              <w:t>(J) group</w:t>
            </w:r>
          </w:p>
        </w:tc>
        <w:tc>
          <w:tcPr>
            <w:tcW w:w="1469" w:type="dxa"/>
            <w:vMerge w:val="restart"/>
            <w:shd w:val="clear" w:color="auto" w:fill="FFFFFF" w:themeFill="background1"/>
            <w:vAlign w:val="bottom"/>
          </w:tcPr>
          <w:p w14:paraId="0FB1CB8D" w14:textId="77777777" w:rsidR="00CB3015" w:rsidRPr="00AA6E3A" w:rsidRDefault="00CB3015" w:rsidP="00CB3015">
            <w:r w:rsidRPr="00AA6E3A">
              <w:t>Mean Difference (I-J)</w:t>
            </w:r>
          </w:p>
        </w:tc>
        <w:tc>
          <w:tcPr>
            <w:tcW w:w="1071" w:type="dxa"/>
            <w:vMerge w:val="restart"/>
            <w:shd w:val="clear" w:color="auto" w:fill="FFFFFF" w:themeFill="background1"/>
            <w:vAlign w:val="bottom"/>
          </w:tcPr>
          <w:p w14:paraId="32DAA2FC" w14:textId="77777777" w:rsidR="00CB3015" w:rsidRPr="00AA6E3A" w:rsidRDefault="00CB3015" w:rsidP="00CB3015">
            <w:r w:rsidRPr="00AA6E3A">
              <w:t>Std. Error</w:t>
            </w:r>
          </w:p>
        </w:tc>
        <w:tc>
          <w:tcPr>
            <w:tcW w:w="1025" w:type="dxa"/>
            <w:vMerge w:val="restart"/>
            <w:shd w:val="clear" w:color="auto" w:fill="FFFFFF" w:themeFill="background1"/>
            <w:vAlign w:val="bottom"/>
          </w:tcPr>
          <w:p w14:paraId="08AB7152" w14:textId="77777777" w:rsidR="00CB3015" w:rsidRPr="00AA6E3A" w:rsidRDefault="00CB3015" w:rsidP="00CB3015">
            <w:proofErr w:type="spellStart"/>
            <w:r w:rsidRPr="00AA6E3A">
              <w:t>Sig.</w:t>
            </w:r>
            <w:r w:rsidRPr="00AA6E3A">
              <w:rPr>
                <w:vertAlign w:val="superscript"/>
              </w:rPr>
              <w:t>a</w:t>
            </w:r>
            <w:proofErr w:type="spellEnd"/>
          </w:p>
        </w:tc>
        <w:tc>
          <w:tcPr>
            <w:tcW w:w="2938" w:type="dxa"/>
            <w:gridSpan w:val="2"/>
            <w:shd w:val="clear" w:color="auto" w:fill="FFFFFF" w:themeFill="background1"/>
            <w:vAlign w:val="bottom"/>
          </w:tcPr>
          <w:p w14:paraId="34270D1D" w14:textId="77777777" w:rsidR="00CB3015" w:rsidRPr="00AA6E3A" w:rsidRDefault="00CB3015" w:rsidP="00CB3015">
            <w:r w:rsidRPr="00AA6E3A">
              <w:t xml:space="preserve">95% Confidence Interval for </w:t>
            </w:r>
            <w:proofErr w:type="spellStart"/>
            <w:r w:rsidRPr="00AA6E3A">
              <w:t>Difference</w:t>
            </w:r>
            <w:r w:rsidRPr="00AA6E3A">
              <w:rPr>
                <w:vertAlign w:val="superscript"/>
              </w:rPr>
              <w:t>a</w:t>
            </w:r>
            <w:proofErr w:type="spellEnd"/>
          </w:p>
        </w:tc>
      </w:tr>
      <w:tr w:rsidR="00CB3015" w:rsidRPr="00AA6E3A" w14:paraId="05406F21" w14:textId="77777777" w:rsidTr="005505BC">
        <w:trPr>
          <w:cantSplit/>
          <w:jc w:val="center"/>
        </w:trPr>
        <w:tc>
          <w:tcPr>
            <w:tcW w:w="1131" w:type="dxa"/>
            <w:vMerge/>
            <w:shd w:val="clear" w:color="auto" w:fill="FFFFFF" w:themeFill="background1"/>
            <w:vAlign w:val="bottom"/>
          </w:tcPr>
          <w:p w14:paraId="763F881B" w14:textId="77777777" w:rsidR="00CB3015" w:rsidRPr="00AA6E3A" w:rsidRDefault="00CB3015" w:rsidP="00CB3015"/>
        </w:tc>
        <w:tc>
          <w:tcPr>
            <w:tcW w:w="1131" w:type="dxa"/>
            <w:vMerge/>
            <w:shd w:val="clear" w:color="auto" w:fill="FFFFFF" w:themeFill="background1"/>
            <w:vAlign w:val="bottom"/>
          </w:tcPr>
          <w:p w14:paraId="7E5576A1" w14:textId="77777777" w:rsidR="00CB3015" w:rsidRPr="00AA6E3A" w:rsidRDefault="00CB3015" w:rsidP="00CB3015"/>
        </w:tc>
        <w:tc>
          <w:tcPr>
            <w:tcW w:w="1469" w:type="dxa"/>
            <w:vMerge/>
            <w:shd w:val="clear" w:color="auto" w:fill="FFFFFF" w:themeFill="background1"/>
            <w:vAlign w:val="bottom"/>
          </w:tcPr>
          <w:p w14:paraId="2FB50463" w14:textId="77777777" w:rsidR="00CB3015" w:rsidRPr="00AA6E3A" w:rsidRDefault="00CB3015" w:rsidP="00CB3015"/>
        </w:tc>
        <w:tc>
          <w:tcPr>
            <w:tcW w:w="1071" w:type="dxa"/>
            <w:vMerge/>
            <w:shd w:val="clear" w:color="auto" w:fill="FFFFFF" w:themeFill="background1"/>
            <w:vAlign w:val="bottom"/>
          </w:tcPr>
          <w:p w14:paraId="4E761438" w14:textId="77777777" w:rsidR="00CB3015" w:rsidRPr="00AA6E3A" w:rsidRDefault="00CB3015" w:rsidP="00CB3015"/>
        </w:tc>
        <w:tc>
          <w:tcPr>
            <w:tcW w:w="1025" w:type="dxa"/>
            <w:vMerge/>
            <w:shd w:val="clear" w:color="auto" w:fill="FFFFFF" w:themeFill="background1"/>
            <w:vAlign w:val="bottom"/>
          </w:tcPr>
          <w:p w14:paraId="22F28269" w14:textId="77777777" w:rsidR="00CB3015" w:rsidRPr="00AA6E3A" w:rsidRDefault="00CB3015" w:rsidP="00CB3015"/>
        </w:tc>
        <w:tc>
          <w:tcPr>
            <w:tcW w:w="1469" w:type="dxa"/>
            <w:shd w:val="clear" w:color="auto" w:fill="FFFFFF" w:themeFill="background1"/>
            <w:vAlign w:val="bottom"/>
          </w:tcPr>
          <w:p w14:paraId="4C81B65C" w14:textId="77777777" w:rsidR="00CB3015" w:rsidRPr="00AA6E3A" w:rsidRDefault="00CB3015" w:rsidP="00CB3015">
            <w:r w:rsidRPr="00AA6E3A">
              <w:t>Lower Bound</w:t>
            </w:r>
          </w:p>
        </w:tc>
        <w:tc>
          <w:tcPr>
            <w:tcW w:w="1469" w:type="dxa"/>
            <w:shd w:val="clear" w:color="auto" w:fill="FFFFFF" w:themeFill="background1"/>
            <w:vAlign w:val="bottom"/>
          </w:tcPr>
          <w:p w14:paraId="273DB473" w14:textId="77777777" w:rsidR="00CB3015" w:rsidRPr="00AA6E3A" w:rsidRDefault="00CB3015" w:rsidP="00CB3015">
            <w:r w:rsidRPr="00AA6E3A">
              <w:t>Upper Bound</w:t>
            </w:r>
          </w:p>
        </w:tc>
      </w:tr>
      <w:tr w:rsidR="00CB3015" w:rsidRPr="00AA6E3A" w14:paraId="3954E519" w14:textId="77777777" w:rsidTr="005505BC">
        <w:trPr>
          <w:cantSplit/>
          <w:jc w:val="center"/>
        </w:trPr>
        <w:tc>
          <w:tcPr>
            <w:tcW w:w="1131" w:type="dxa"/>
            <w:shd w:val="clear" w:color="auto" w:fill="FFFFFF" w:themeFill="background1"/>
          </w:tcPr>
          <w:p w14:paraId="13F4062E" w14:textId="77777777" w:rsidR="00CB3015" w:rsidRPr="00AA6E3A" w:rsidRDefault="00CB3015" w:rsidP="00CB3015">
            <w:r w:rsidRPr="00AA6E3A">
              <w:t>play</w:t>
            </w:r>
          </w:p>
        </w:tc>
        <w:tc>
          <w:tcPr>
            <w:tcW w:w="1131" w:type="dxa"/>
            <w:shd w:val="clear" w:color="auto" w:fill="FFFFFF" w:themeFill="background1"/>
          </w:tcPr>
          <w:p w14:paraId="139DC73D" w14:textId="77777777" w:rsidR="00CB3015" w:rsidRPr="00AA6E3A" w:rsidRDefault="00CB3015" w:rsidP="00CB3015">
            <w:r w:rsidRPr="00AA6E3A">
              <w:t>animation</w:t>
            </w:r>
          </w:p>
        </w:tc>
        <w:tc>
          <w:tcPr>
            <w:tcW w:w="1469" w:type="dxa"/>
            <w:shd w:val="clear" w:color="auto" w:fill="FFFFFF" w:themeFill="background1"/>
          </w:tcPr>
          <w:p w14:paraId="26F12F4D" w14:textId="77777777" w:rsidR="00CB3015" w:rsidRPr="00AA6E3A" w:rsidRDefault="00CB3015" w:rsidP="00CB3015">
            <w:r w:rsidRPr="00AA6E3A">
              <w:t>1.460</w:t>
            </w:r>
          </w:p>
        </w:tc>
        <w:tc>
          <w:tcPr>
            <w:tcW w:w="1071" w:type="dxa"/>
            <w:shd w:val="clear" w:color="auto" w:fill="FFFFFF" w:themeFill="background1"/>
          </w:tcPr>
          <w:p w14:paraId="0DB06309" w14:textId="77777777" w:rsidR="00CB3015" w:rsidRPr="00AA6E3A" w:rsidRDefault="00CB3015" w:rsidP="00CB3015">
            <w:r w:rsidRPr="00AA6E3A">
              <w:t>1.335</w:t>
            </w:r>
          </w:p>
        </w:tc>
        <w:tc>
          <w:tcPr>
            <w:tcW w:w="1025" w:type="dxa"/>
            <w:shd w:val="clear" w:color="auto" w:fill="FFFFFF" w:themeFill="background1"/>
          </w:tcPr>
          <w:p w14:paraId="42D3FD60" w14:textId="77777777" w:rsidR="00CB3015" w:rsidRPr="00AA6E3A" w:rsidRDefault="00CB3015" w:rsidP="00CB3015">
            <w:r w:rsidRPr="00AA6E3A">
              <w:t>.277</w:t>
            </w:r>
          </w:p>
        </w:tc>
        <w:tc>
          <w:tcPr>
            <w:tcW w:w="1469" w:type="dxa"/>
            <w:shd w:val="clear" w:color="auto" w:fill="FFFFFF" w:themeFill="background1"/>
          </w:tcPr>
          <w:p w14:paraId="59AC330D" w14:textId="77777777" w:rsidR="00CB3015" w:rsidRPr="00AA6E3A" w:rsidRDefault="00CB3015" w:rsidP="00CB3015">
            <w:r w:rsidRPr="00AA6E3A">
              <w:t>-1.190</w:t>
            </w:r>
          </w:p>
        </w:tc>
        <w:tc>
          <w:tcPr>
            <w:tcW w:w="1469" w:type="dxa"/>
            <w:shd w:val="clear" w:color="auto" w:fill="FFFFFF" w:themeFill="background1"/>
          </w:tcPr>
          <w:p w14:paraId="3E2F5822" w14:textId="77777777" w:rsidR="00CB3015" w:rsidRPr="00AA6E3A" w:rsidRDefault="00CB3015" w:rsidP="00CB3015">
            <w:r w:rsidRPr="00AA6E3A">
              <w:t>4.110</w:t>
            </w:r>
          </w:p>
        </w:tc>
      </w:tr>
      <w:tr w:rsidR="00CB3015" w:rsidRPr="00AA6E3A" w14:paraId="03675AFE" w14:textId="77777777" w:rsidTr="005505BC">
        <w:trPr>
          <w:cantSplit/>
          <w:jc w:val="center"/>
        </w:trPr>
        <w:tc>
          <w:tcPr>
            <w:tcW w:w="1131" w:type="dxa"/>
            <w:shd w:val="clear" w:color="auto" w:fill="FFFFFF" w:themeFill="background1"/>
          </w:tcPr>
          <w:p w14:paraId="08E5B445" w14:textId="77777777" w:rsidR="00CB3015" w:rsidRPr="00AA6E3A" w:rsidRDefault="00CB3015" w:rsidP="00CB3015">
            <w:r w:rsidRPr="00AA6E3A">
              <w:t>animation</w:t>
            </w:r>
          </w:p>
        </w:tc>
        <w:tc>
          <w:tcPr>
            <w:tcW w:w="1131" w:type="dxa"/>
            <w:shd w:val="clear" w:color="auto" w:fill="FFFFFF" w:themeFill="background1"/>
          </w:tcPr>
          <w:p w14:paraId="6F4179C7" w14:textId="77777777" w:rsidR="00CB3015" w:rsidRPr="00AA6E3A" w:rsidRDefault="00CB3015" w:rsidP="00CB3015">
            <w:r w:rsidRPr="00AA6E3A">
              <w:t>play</w:t>
            </w:r>
          </w:p>
        </w:tc>
        <w:tc>
          <w:tcPr>
            <w:tcW w:w="1469" w:type="dxa"/>
            <w:shd w:val="clear" w:color="auto" w:fill="FFFFFF" w:themeFill="background1"/>
          </w:tcPr>
          <w:p w14:paraId="3DE9C8C5" w14:textId="77777777" w:rsidR="00CB3015" w:rsidRPr="00AA6E3A" w:rsidRDefault="00CB3015" w:rsidP="00CB3015">
            <w:r w:rsidRPr="00AA6E3A">
              <w:t>-1.460</w:t>
            </w:r>
          </w:p>
        </w:tc>
        <w:tc>
          <w:tcPr>
            <w:tcW w:w="1071" w:type="dxa"/>
            <w:shd w:val="clear" w:color="auto" w:fill="FFFFFF" w:themeFill="background1"/>
          </w:tcPr>
          <w:p w14:paraId="4CC8029C" w14:textId="77777777" w:rsidR="00CB3015" w:rsidRPr="00AA6E3A" w:rsidRDefault="00CB3015" w:rsidP="00CB3015">
            <w:r w:rsidRPr="00AA6E3A">
              <w:t>1.335</w:t>
            </w:r>
          </w:p>
        </w:tc>
        <w:tc>
          <w:tcPr>
            <w:tcW w:w="1025" w:type="dxa"/>
            <w:shd w:val="clear" w:color="auto" w:fill="FFFFFF" w:themeFill="background1"/>
          </w:tcPr>
          <w:p w14:paraId="3018FABB" w14:textId="77777777" w:rsidR="00CB3015" w:rsidRPr="00AA6E3A" w:rsidRDefault="00CB3015" w:rsidP="00CB3015">
            <w:r w:rsidRPr="00AA6E3A">
              <w:t>.277</w:t>
            </w:r>
          </w:p>
        </w:tc>
        <w:tc>
          <w:tcPr>
            <w:tcW w:w="1469" w:type="dxa"/>
            <w:shd w:val="clear" w:color="auto" w:fill="FFFFFF" w:themeFill="background1"/>
          </w:tcPr>
          <w:p w14:paraId="4957AC87" w14:textId="77777777" w:rsidR="00CB3015" w:rsidRPr="00AA6E3A" w:rsidRDefault="00CB3015" w:rsidP="00CB3015">
            <w:r w:rsidRPr="00AA6E3A">
              <w:t>-4.110</w:t>
            </w:r>
          </w:p>
        </w:tc>
        <w:tc>
          <w:tcPr>
            <w:tcW w:w="1469" w:type="dxa"/>
            <w:shd w:val="clear" w:color="auto" w:fill="FFFFFF" w:themeFill="background1"/>
          </w:tcPr>
          <w:p w14:paraId="438293A8" w14:textId="77777777" w:rsidR="00CB3015" w:rsidRPr="00AA6E3A" w:rsidRDefault="00CB3015" w:rsidP="00CB3015">
            <w:r w:rsidRPr="00AA6E3A">
              <w:t>1.190</w:t>
            </w:r>
          </w:p>
        </w:tc>
      </w:tr>
      <w:tr w:rsidR="00CB3015" w:rsidRPr="00AA6E3A" w14:paraId="25383785" w14:textId="77777777" w:rsidTr="005505BC">
        <w:trPr>
          <w:cantSplit/>
          <w:jc w:val="center"/>
        </w:trPr>
        <w:tc>
          <w:tcPr>
            <w:tcW w:w="8765" w:type="dxa"/>
            <w:gridSpan w:val="7"/>
            <w:shd w:val="clear" w:color="auto" w:fill="FFFFFF" w:themeFill="background1"/>
          </w:tcPr>
          <w:p w14:paraId="2F1A7646" w14:textId="77777777" w:rsidR="00CB3015" w:rsidRPr="00AA6E3A" w:rsidRDefault="00CB3015" w:rsidP="00CB3015">
            <w:r w:rsidRPr="00AA6E3A">
              <w:t>Based on estimated marginal means</w:t>
            </w:r>
          </w:p>
        </w:tc>
      </w:tr>
      <w:tr w:rsidR="00CB3015" w:rsidRPr="00AA6E3A" w14:paraId="1205B9C6" w14:textId="77777777" w:rsidTr="005505BC">
        <w:trPr>
          <w:cantSplit/>
          <w:jc w:val="center"/>
        </w:trPr>
        <w:tc>
          <w:tcPr>
            <w:tcW w:w="8765" w:type="dxa"/>
            <w:gridSpan w:val="7"/>
            <w:shd w:val="clear" w:color="auto" w:fill="FFFFFF" w:themeFill="background1"/>
          </w:tcPr>
          <w:p w14:paraId="78B6A5DB" w14:textId="77777777" w:rsidR="00CB3015" w:rsidRPr="00AA6E3A" w:rsidRDefault="00CB3015" w:rsidP="00CB3015">
            <w:r w:rsidRPr="00AA6E3A">
              <w:t>a. Adjustment for multiple comparisons: Bonferroni.</w:t>
            </w:r>
          </w:p>
        </w:tc>
      </w:tr>
    </w:tbl>
    <w:p w14:paraId="00B4941C" w14:textId="77777777" w:rsidR="00CB3015" w:rsidRPr="0027590C" w:rsidRDefault="00CB3015" w:rsidP="00CB3015">
      <w:pPr>
        <w:autoSpaceDE w:val="0"/>
        <w:autoSpaceDN w:val="0"/>
        <w:adjustRightInd w:val="0"/>
        <w:spacing w:after="0" w:line="400" w:lineRule="atLeast"/>
        <w:rPr>
          <w:rFonts w:ascii="Times New Roman" w:hAnsi="Times New Roman" w:cs="Times New Roman"/>
          <w:sz w:val="24"/>
          <w:szCs w:val="24"/>
        </w:rPr>
      </w:pPr>
    </w:p>
    <w:p w14:paraId="2AA2ABF9" w14:textId="51E9107F" w:rsidR="00CB3015" w:rsidRPr="00B47A38" w:rsidRDefault="00CB3015" w:rsidP="00996EE0">
      <w:pPr>
        <w:spacing w:line="240" w:lineRule="auto"/>
        <w:rPr>
          <w:rFonts w:asciiTheme="majorBidi" w:hAnsiTheme="majorBidi" w:cstheme="majorBidi"/>
        </w:rPr>
      </w:pPr>
      <w:r w:rsidRPr="00B47A38">
        <w:rPr>
          <w:rFonts w:asciiTheme="majorBidi" w:hAnsiTheme="majorBidi" w:cstheme="majorBidi"/>
        </w:rPr>
        <w:t xml:space="preserve">As readers can see in table 5 titled Pairwise Comparisons, the mean difference is not statistically significant (I - J = 1.46, p = .27). It is safe to state that the difference between the two treatments (play and animation) has not been significant regarding reading anxiety. Hence, compared to each other, no treatment is supreme.  </w:t>
      </w:r>
    </w:p>
    <w:p w14:paraId="35309280" w14:textId="7B19E640" w:rsidR="00CB3015" w:rsidRPr="00B47A38" w:rsidRDefault="00CB3015" w:rsidP="00996EE0">
      <w:pPr>
        <w:pStyle w:val="ListParagraph"/>
        <w:numPr>
          <w:ilvl w:val="1"/>
          <w:numId w:val="1"/>
        </w:numPr>
        <w:spacing w:line="240" w:lineRule="auto"/>
        <w:rPr>
          <w:rFonts w:asciiTheme="majorBidi" w:hAnsiTheme="majorBidi" w:cstheme="majorBidi"/>
          <w:i/>
          <w:iCs/>
        </w:rPr>
      </w:pPr>
      <w:r w:rsidRPr="00B47A38">
        <w:rPr>
          <w:rFonts w:asciiTheme="majorBidi" w:hAnsiTheme="majorBidi" w:cstheme="majorBidi"/>
          <w:i/>
          <w:iCs/>
        </w:rPr>
        <w:t>Research Question 2</w:t>
      </w:r>
    </w:p>
    <w:p w14:paraId="62D67BFE" w14:textId="77777777"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Research question 2 was:</w:t>
      </w:r>
    </w:p>
    <w:p w14:paraId="595FA134" w14:textId="77777777"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“Is there a difference between groups treated by play or animation regarding reading Comprehension?”</w:t>
      </w:r>
    </w:p>
    <w:p w14:paraId="44B8313D" w14:textId="77777777"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In order to answer this question, one-way Analysis of Covariance (ANCOVA) was used. </w:t>
      </w:r>
    </w:p>
    <w:tbl>
      <w:tblPr>
        <w:tblW w:w="4176"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044"/>
        <w:gridCol w:w="1044"/>
        <w:gridCol w:w="1044"/>
        <w:gridCol w:w="1044"/>
      </w:tblGrid>
      <w:tr w:rsidR="00B937BD" w:rsidRPr="00AA6E3A" w14:paraId="43F5D63A" w14:textId="77777777" w:rsidTr="005505BC">
        <w:trPr>
          <w:cantSplit/>
          <w:jc w:val="center"/>
        </w:trPr>
        <w:tc>
          <w:tcPr>
            <w:tcW w:w="4176" w:type="dxa"/>
            <w:gridSpan w:val="4"/>
            <w:shd w:val="clear" w:color="auto" w:fill="FFFFFF" w:themeFill="background1"/>
            <w:vAlign w:val="center"/>
          </w:tcPr>
          <w:p w14:paraId="6945D9D5" w14:textId="48BE7D93" w:rsidR="00B937BD" w:rsidRPr="00B937BD" w:rsidRDefault="00B937BD" w:rsidP="00B937BD">
            <w:pPr>
              <w:pStyle w:val="NoSpacing"/>
              <w:rPr>
                <w:b/>
                <w:bCs/>
                <w:vertAlign w:val="superscript"/>
              </w:rPr>
            </w:pPr>
            <w:r w:rsidRPr="00B937BD">
              <w:rPr>
                <w:b/>
                <w:bCs/>
              </w:rPr>
              <w:t xml:space="preserve">Table 6 </w:t>
            </w:r>
            <w:bookmarkStart w:id="3" w:name="_Hlk81937675"/>
            <w:proofErr w:type="spellStart"/>
            <w:r w:rsidRPr="00B937BD">
              <w:rPr>
                <w:b/>
                <w:bCs/>
              </w:rPr>
              <w:t>Levene's</w:t>
            </w:r>
            <w:proofErr w:type="spellEnd"/>
            <w:r w:rsidRPr="00B937BD">
              <w:rPr>
                <w:b/>
                <w:bCs/>
              </w:rPr>
              <w:t xml:space="preserve"> Test of Equality of Error </w:t>
            </w:r>
            <w:proofErr w:type="spellStart"/>
            <w:r w:rsidRPr="00B937BD">
              <w:rPr>
                <w:b/>
                <w:bCs/>
              </w:rPr>
              <w:t>Variances</w:t>
            </w:r>
            <w:r w:rsidRPr="00B937BD">
              <w:rPr>
                <w:b/>
                <w:bCs/>
                <w:vertAlign w:val="superscript"/>
              </w:rPr>
              <w:t>a</w:t>
            </w:r>
            <w:bookmarkEnd w:id="3"/>
            <w:proofErr w:type="spellEnd"/>
          </w:p>
          <w:p w14:paraId="37C2B711" w14:textId="77777777" w:rsidR="00B937BD" w:rsidRPr="00AA6E3A" w:rsidRDefault="00B937BD" w:rsidP="00B937BD">
            <w:pPr>
              <w:pStyle w:val="NoSpacing"/>
            </w:pPr>
          </w:p>
        </w:tc>
      </w:tr>
      <w:tr w:rsidR="00B937BD" w:rsidRPr="00AA6E3A" w14:paraId="27629CC3" w14:textId="77777777" w:rsidTr="005505BC">
        <w:trPr>
          <w:cantSplit/>
          <w:jc w:val="center"/>
        </w:trPr>
        <w:tc>
          <w:tcPr>
            <w:tcW w:w="4176" w:type="dxa"/>
            <w:gridSpan w:val="4"/>
            <w:shd w:val="clear" w:color="auto" w:fill="FFFFFF" w:themeFill="background1"/>
            <w:vAlign w:val="bottom"/>
          </w:tcPr>
          <w:p w14:paraId="49283ABF" w14:textId="77777777" w:rsidR="00B937BD" w:rsidRPr="00AA6E3A" w:rsidRDefault="00B937BD" w:rsidP="00B937BD">
            <w:pPr>
              <w:pStyle w:val="NoSpacing"/>
            </w:pPr>
            <w:r w:rsidRPr="00AA6E3A">
              <w:rPr>
                <w:shd w:val="clear" w:color="auto" w:fill="FFFFFF"/>
              </w:rPr>
              <w:t xml:space="preserve">Dependent Variable:   posttest  </w:t>
            </w:r>
          </w:p>
        </w:tc>
      </w:tr>
      <w:tr w:rsidR="00B937BD" w:rsidRPr="00AA6E3A" w14:paraId="3ABA99CF" w14:textId="77777777" w:rsidTr="005505BC">
        <w:trPr>
          <w:cantSplit/>
          <w:jc w:val="center"/>
        </w:trPr>
        <w:tc>
          <w:tcPr>
            <w:tcW w:w="1044" w:type="dxa"/>
            <w:shd w:val="clear" w:color="auto" w:fill="FFFFFF" w:themeFill="background1"/>
            <w:vAlign w:val="bottom"/>
          </w:tcPr>
          <w:p w14:paraId="0D24A37C" w14:textId="77777777" w:rsidR="00B937BD" w:rsidRPr="00AA6E3A" w:rsidRDefault="00B937BD" w:rsidP="00B937BD">
            <w:pPr>
              <w:pStyle w:val="NoSpacing"/>
            </w:pPr>
            <w:r w:rsidRPr="00AA6E3A">
              <w:t>F</w:t>
            </w:r>
          </w:p>
        </w:tc>
        <w:tc>
          <w:tcPr>
            <w:tcW w:w="1044" w:type="dxa"/>
            <w:shd w:val="clear" w:color="auto" w:fill="FFFFFF" w:themeFill="background1"/>
            <w:vAlign w:val="bottom"/>
          </w:tcPr>
          <w:p w14:paraId="51A079D4" w14:textId="77777777" w:rsidR="00B937BD" w:rsidRPr="00AA6E3A" w:rsidRDefault="00B937BD" w:rsidP="00B937BD">
            <w:pPr>
              <w:pStyle w:val="NoSpacing"/>
            </w:pPr>
            <w:r w:rsidRPr="00AA6E3A">
              <w:t>df1</w:t>
            </w:r>
          </w:p>
        </w:tc>
        <w:tc>
          <w:tcPr>
            <w:tcW w:w="1044" w:type="dxa"/>
            <w:shd w:val="clear" w:color="auto" w:fill="FFFFFF" w:themeFill="background1"/>
            <w:vAlign w:val="bottom"/>
          </w:tcPr>
          <w:p w14:paraId="146E932F" w14:textId="77777777" w:rsidR="00B937BD" w:rsidRPr="00AA6E3A" w:rsidRDefault="00B937BD" w:rsidP="00B937BD">
            <w:pPr>
              <w:pStyle w:val="NoSpacing"/>
            </w:pPr>
            <w:r w:rsidRPr="00AA6E3A">
              <w:t>df2</w:t>
            </w:r>
          </w:p>
        </w:tc>
        <w:tc>
          <w:tcPr>
            <w:tcW w:w="1044" w:type="dxa"/>
            <w:shd w:val="clear" w:color="auto" w:fill="FFFFFF" w:themeFill="background1"/>
            <w:vAlign w:val="bottom"/>
          </w:tcPr>
          <w:p w14:paraId="71112B64" w14:textId="77777777" w:rsidR="00B937BD" w:rsidRPr="00AA6E3A" w:rsidRDefault="00B937BD" w:rsidP="00B937BD">
            <w:pPr>
              <w:pStyle w:val="NoSpacing"/>
            </w:pPr>
            <w:r w:rsidRPr="00AA6E3A">
              <w:t>Sig.</w:t>
            </w:r>
          </w:p>
        </w:tc>
      </w:tr>
      <w:tr w:rsidR="00B937BD" w:rsidRPr="00AA6E3A" w14:paraId="0395DA91" w14:textId="77777777" w:rsidTr="005505BC">
        <w:trPr>
          <w:cantSplit/>
          <w:jc w:val="center"/>
        </w:trPr>
        <w:tc>
          <w:tcPr>
            <w:tcW w:w="1044" w:type="dxa"/>
            <w:shd w:val="clear" w:color="auto" w:fill="FFFFFF" w:themeFill="background1"/>
          </w:tcPr>
          <w:p w14:paraId="23AB650E" w14:textId="77777777" w:rsidR="00B937BD" w:rsidRPr="00AA6E3A" w:rsidRDefault="00B937BD" w:rsidP="00B937BD">
            <w:pPr>
              <w:pStyle w:val="NoSpacing"/>
            </w:pPr>
            <w:r w:rsidRPr="00AA6E3A">
              <w:t>5.739</w:t>
            </w:r>
          </w:p>
        </w:tc>
        <w:tc>
          <w:tcPr>
            <w:tcW w:w="1044" w:type="dxa"/>
            <w:shd w:val="clear" w:color="auto" w:fill="FFFFFF" w:themeFill="background1"/>
          </w:tcPr>
          <w:p w14:paraId="01508F2D" w14:textId="77777777" w:rsidR="00B937BD" w:rsidRPr="00AA6E3A" w:rsidRDefault="00B937BD" w:rsidP="00B937BD">
            <w:pPr>
              <w:pStyle w:val="NoSpacing"/>
            </w:pPr>
            <w:r w:rsidRPr="00AA6E3A">
              <w:t>1</w:t>
            </w:r>
          </w:p>
        </w:tc>
        <w:tc>
          <w:tcPr>
            <w:tcW w:w="1044" w:type="dxa"/>
            <w:shd w:val="clear" w:color="auto" w:fill="FFFFFF" w:themeFill="background1"/>
          </w:tcPr>
          <w:p w14:paraId="0A915099" w14:textId="77777777" w:rsidR="00B937BD" w:rsidRPr="00AA6E3A" w:rsidRDefault="00B937BD" w:rsidP="00B937BD">
            <w:pPr>
              <w:pStyle w:val="NoSpacing"/>
            </w:pPr>
            <w:r w:rsidRPr="00AA6E3A">
              <w:t>99</w:t>
            </w:r>
          </w:p>
        </w:tc>
        <w:tc>
          <w:tcPr>
            <w:tcW w:w="1044" w:type="dxa"/>
            <w:shd w:val="clear" w:color="auto" w:fill="FFFFFF" w:themeFill="background1"/>
          </w:tcPr>
          <w:p w14:paraId="03CDA73F" w14:textId="77777777" w:rsidR="00B937BD" w:rsidRPr="00AA6E3A" w:rsidRDefault="00B937BD" w:rsidP="00B937BD">
            <w:pPr>
              <w:pStyle w:val="NoSpacing"/>
            </w:pPr>
            <w:r w:rsidRPr="00AA6E3A">
              <w:t>.018</w:t>
            </w:r>
          </w:p>
        </w:tc>
      </w:tr>
      <w:tr w:rsidR="00B937BD" w:rsidRPr="00AA6E3A" w14:paraId="2E0DDC8D" w14:textId="77777777" w:rsidTr="005505BC">
        <w:trPr>
          <w:cantSplit/>
          <w:jc w:val="center"/>
        </w:trPr>
        <w:tc>
          <w:tcPr>
            <w:tcW w:w="4176" w:type="dxa"/>
            <w:gridSpan w:val="4"/>
            <w:shd w:val="clear" w:color="auto" w:fill="FFFFFF" w:themeFill="background1"/>
          </w:tcPr>
          <w:p w14:paraId="26EEB120" w14:textId="77777777" w:rsidR="00B937BD" w:rsidRPr="00AA6E3A" w:rsidRDefault="00B937BD" w:rsidP="00B937BD">
            <w:pPr>
              <w:pStyle w:val="NoSpacing"/>
            </w:pPr>
            <w:r w:rsidRPr="00AA6E3A">
              <w:t>Tests the null hypothesis that the error variance of the dependent variable is equal across groups.</w:t>
            </w:r>
          </w:p>
        </w:tc>
      </w:tr>
      <w:tr w:rsidR="00B937BD" w:rsidRPr="00AA6E3A" w14:paraId="051ECA4B" w14:textId="77777777" w:rsidTr="005505BC">
        <w:trPr>
          <w:cantSplit/>
          <w:jc w:val="center"/>
        </w:trPr>
        <w:tc>
          <w:tcPr>
            <w:tcW w:w="4176" w:type="dxa"/>
            <w:gridSpan w:val="4"/>
            <w:shd w:val="clear" w:color="auto" w:fill="FFFFFF" w:themeFill="background1"/>
          </w:tcPr>
          <w:p w14:paraId="64D2C6BA" w14:textId="77777777" w:rsidR="00B937BD" w:rsidRPr="00AA6E3A" w:rsidRDefault="00B937BD" w:rsidP="00B937BD">
            <w:pPr>
              <w:pStyle w:val="NoSpacing"/>
            </w:pPr>
            <w:r w:rsidRPr="00AA6E3A">
              <w:t>a. Design: Intercept + group + pretest + group * pretest</w:t>
            </w:r>
          </w:p>
        </w:tc>
      </w:tr>
    </w:tbl>
    <w:p w14:paraId="09434CA8" w14:textId="77777777" w:rsidR="00B937BD" w:rsidRPr="00B937BD" w:rsidRDefault="00B937BD" w:rsidP="00B937BD">
      <w:pPr>
        <w:autoSpaceDE w:val="0"/>
        <w:autoSpaceDN w:val="0"/>
        <w:adjustRightInd w:val="0"/>
        <w:spacing w:after="0" w:line="400" w:lineRule="atLeast"/>
        <w:rPr>
          <w:rFonts w:ascii="Times New Roman" w:hAnsi="Times New Roman" w:cs="Times New Roman"/>
          <w:sz w:val="24"/>
          <w:szCs w:val="24"/>
        </w:rPr>
      </w:pPr>
    </w:p>
    <w:p w14:paraId="75E07F5A" w14:textId="22D084DD"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As it is displayed in table 6 titled </w:t>
      </w:r>
      <w:proofErr w:type="spellStart"/>
      <w:r w:rsidRPr="00B47A38">
        <w:rPr>
          <w:rFonts w:asciiTheme="majorBidi" w:hAnsiTheme="majorBidi" w:cstheme="majorBidi"/>
        </w:rPr>
        <w:t>Levene's</w:t>
      </w:r>
      <w:proofErr w:type="spellEnd"/>
      <w:r w:rsidRPr="00B47A38">
        <w:rPr>
          <w:rFonts w:asciiTheme="majorBidi" w:hAnsiTheme="majorBidi" w:cstheme="majorBidi"/>
        </w:rPr>
        <w:t xml:space="preserve"> Test of Equality of Error Variances, the significance value is .018. In this case, the </w:t>
      </w:r>
      <w:r w:rsidR="00A64747" w:rsidRPr="00B47A38">
        <w:rPr>
          <w:rFonts w:asciiTheme="majorBidi" w:hAnsiTheme="majorBidi" w:cstheme="majorBidi"/>
        </w:rPr>
        <w:t>researchers</w:t>
      </w:r>
      <w:r w:rsidRPr="00B47A38">
        <w:rPr>
          <w:rFonts w:asciiTheme="majorBidi" w:hAnsiTheme="majorBidi" w:cstheme="majorBidi"/>
        </w:rPr>
        <w:t xml:space="preserve"> </w:t>
      </w:r>
      <w:r w:rsidR="00996EE0" w:rsidRPr="00B47A38">
        <w:rPr>
          <w:rFonts w:asciiTheme="majorBidi" w:hAnsiTheme="majorBidi" w:cstheme="majorBidi"/>
        </w:rPr>
        <w:t>have</w:t>
      </w:r>
      <w:r w:rsidRPr="00B47A38">
        <w:rPr>
          <w:rFonts w:asciiTheme="majorBidi" w:hAnsiTheme="majorBidi" w:cstheme="majorBidi"/>
        </w:rPr>
        <w:t xml:space="preserve"> set a more conservative p-value, which is .01 rather than .05 in order to test the null hypothesis.</w:t>
      </w:r>
    </w:p>
    <w:p w14:paraId="3485CC81" w14:textId="0C034FE0" w:rsidR="00996EE0" w:rsidRDefault="00996EE0" w:rsidP="00996EE0">
      <w:pPr>
        <w:spacing w:line="240" w:lineRule="auto"/>
        <w:rPr>
          <w:rFonts w:cstheme="minorHAnsi"/>
        </w:rPr>
      </w:pPr>
    </w:p>
    <w:p w14:paraId="761C0423" w14:textId="77777777" w:rsidR="00996EE0" w:rsidRPr="00996EE0" w:rsidRDefault="00996EE0" w:rsidP="00996EE0">
      <w:pPr>
        <w:spacing w:line="240" w:lineRule="auto"/>
        <w:rPr>
          <w:rFonts w:cstheme="minorHAnsi"/>
        </w:rPr>
      </w:pPr>
    </w:p>
    <w:tbl>
      <w:tblPr>
        <w:tblW w:w="9086"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668"/>
        <w:gridCol w:w="1469"/>
        <w:gridCol w:w="1024"/>
        <w:gridCol w:w="1408"/>
        <w:gridCol w:w="1024"/>
        <w:gridCol w:w="1024"/>
        <w:gridCol w:w="1469"/>
      </w:tblGrid>
      <w:tr w:rsidR="00B937BD" w:rsidRPr="00AA6E3A" w14:paraId="394F21D8" w14:textId="77777777" w:rsidTr="005505BC">
        <w:trPr>
          <w:cantSplit/>
          <w:jc w:val="center"/>
        </w:trPr>
        <w:tc>
          <w:tcPr>
            <w:tcW w:w="9082" w:type="dxa"/>
            <w:gridSpan w:val="7"/>
            <w:shd w:val="clear" w:color="auto" w:fill="FFFFFF" w:themeFill="background1"/>
            <w:vAlign w:val="center"/>
          </w:tcPr>
          <w:p w14:paraId="408293FC" w14:textId="20775162" w:rsidR="00B937BD" w:rsidRPr="00B937BD" w:rsidRDefault="00B937BD" w:rsidP="00B937BD">
            <w:pPr>
              <w:pStyle w:val="NoSpacing"/>
              <w:jc w:val="center"/>
              <w:rPr>
                <w:b/>
                <w:bCs/>
              </w:rPr>
            </w:pPr>
            <w:r w:rsidRPr="00B937BD">
              <w:rPr>
                <w:b/>
                <w:bCs/>
              </w:rPr>
              <w:t xml:space="preserve">Table 7 </w:t>
            </w:r>
            <w:bookmarkStart w:id="4" w:name="_Hlk81937762"/>
            <w:r w:rsidRPr="00B937BD">
              <w:rPr>
                <w:b/>
                <w:bCs/>
              </w:rPr>
              <w:t>Tests of Between-Subjects Effects</w:t>
            </w:r>
            <w:bookmarkEnd w:id="4"/>
          </w:p>
          <w:p w14:paraId="6C7400C9" w14:textId="77777777" w:rsidR="00B937BD" w:rsidRPr="00AA6E3A" w:rsidRDefault="00B937BD" w:rsidP="00B937BD">
            <w:pPr>
              <w:pStyle w:val="NoSpacing"/>
            </w:pPr>
          </w:p>
        </w:tc>
      </w:tr>
      <w:tr w:rsidR="00B937BD" w:rsidRPr="00AA6E3A" w14:paraId="3B2E5F8B" w14:textId="77777777" w:rsidTr="005505BC">
        <w:trPr>
          <w:cantSplit/>
          <w:jc w:val="center"/>
        </w:trPr>
        <w:tc>
          <w:tcPr>
            <w:tcW w:w="9082" w:type="dxa"/>
            <w:gridSpan w:val="7"/>
            <w:shd w:val="clear" w:color="auto" w:fill="FFFFFF" w:themeFill="background1"/>
            <w:vAlign w:val="bottom"/>
          </w:tcPr>
          <w:p w14:paraId="2BD23B01" w14:textId="77777777" w:rsidR="00B937BD" w:rsidRPr="00AA6E3A" w:rsidRDefault="00B937BD" w:rsidP="00B937BD">
            <w:pPr>
              <w:pStyle w:val="NoSpacing"/>
            </w:pPr>
            <w:r w:rsidRPr="00AA6E3A">
              <w:rPr>
                <w:shd w:val="clear" w:color="auto" w:fill="FFFFFF"/>
              </w:rPr>
              <w:t xml:space="preserve">Dependent Variable:   posttest  </w:t>
            </w:r>
          </w:p>
        </w:tc>
      </w:tr>
      <w:tr w:rsidR="00B937BD" w:rsidRPr="00AA6E3A" w14:paraId="654EF861" w14:textId="77777777" w:rsidTr="005505BC">
        <w:trPr>
          <w:cantSplit/>
          <w:jc w:val="center"/>
        </w:trPr>
        <w:tc>
          <w:tcPr>
            <w:tcW w:w="1667" w:type="dxa"/>
            <w:shd w:val="clear" w:color="auto" w:fill="FFFFFF" w:themeFill="background1"/>
            <w:vAlign w:val="bottom"/>
          </w:tcPr>
          <w:p w14:paraId="7D142A97" w14:textId="77777777" w:rsidR="00B937BD" w:rsidRPr="00AA6E3A" w:rsidRDefault="00B937BD" w:rsidP="00B937BD">
            <w:pPr>
              <w:pStyle w:val="NoSpacing"/>
            </w:pPr>
            <w:r w:rsidRPr="00AA6E3A">
              <w:t>Source</w:t>
            </w:r>
          </w:p>
        </w:tc>
        <w:tc>
          <w:tcPr>
            <w:tcW w:w="1468" w:type="dxa"/>
            <w:shd w:val="clear" w:color="auto" w:fill="FFFFFF" w:themeFill="background1"/>
            <w:vAlign w:val="bottom"/>
          </w:tcPr>
          <w:p w14:paraId="09B2CD8F" w14:textId="77777777" w:rsidR="00B937BD" w:rsidRPr="00AA6E3A" w:rsidRDefault="00B937BD" w:rsidP="00B937BD">
            <w:pPr>
              <w:pStyle w:val="NoSpacing"/>
            </w:pPr>
            <w:r w:rsidRPr="00AA6E3A">
              <w:t>Type III Sum of Squares</w:t>
            </w:r>
          </w:p>
        </w:tc>
        <w:tc>
          <w:tcPr>
            <w:tcW w:w="1024" w:type="dxa"/>
            <w:shd w:val="clear" w:color="auto" w:fill="FFFFFF" w:themeFill="background1"/>
            <w:vAlign w:val="bottom"/>
          </w:tcPr>
          <w:p w14:paraId="2B848D3D" w14:textId="77777777" w:rsidR="00B937BD" w:rsidRPr="00AA6E3A" w:rsidRDefault="00B937BD" w:rsidP="00B937BD">
            <w:pPr>
              <w:pStyle w:val="NoSpacing"/>
            </w:pPr>
            <w:r w:rsidRPr="00AA6E3A">
              <w:t>df</w:t>
            </w:r>
          </w:p>
        </w:tc>
        <w:tc>
          <w:tcPr>
            <w:tcW w:w="1407" w:type="dxa"/>
            <w:shd w:val="clear" w:color="auto" w:fill="FFFFFF" w:themeFill="background1"/>
            <w:vAlign w:val="bottom"/>
          </w:tcPr>
          <w:p w14:paraId="172B3009" w14:textId="77777777" w:rsidR="00B937BD" w:rsidRPr="00AA6E3A" w:rsidRDefault="00B937BD" w:rsidP="00B937BD">
            <w:pPr>
              <w:pStyle w:val="NoSpacing"/>
            </w:pPr>
            <w:r w:rsidRPr="00AA6E3A">
              <w:t>Mean Square</w:t>
            </w:r>
          </w:p>
        </w:tc>
        <w:tc>
          <w:tcPr>
            <w:tcW w:w="1024" w:type="dxa"/>
            <w:shd w:val="clear" w:color="auto" w:fill="FFFFFF" w:themeFill="background1"/>
            <w:vAlign w:val="bottom"/>
          </w:tcPr>
          <w:p w14:paraId="6EDE78B2" w14:textId="77777777" w:rsidR="00B937BD" w:rsidRPr="00AA6E3A" w:rsidRDefault="00B937BD" w:rsidP="00B937BD">
            <w:pPr>
              <w:pStyle w:val="NoSpacing"/>
            </w:pPr>
            <w:r w:rsidRPr="00AA6E3A">
              <w:t>F</w:t>
            </w:r>
          </w:p>
        </w:tc>
        <w:tc>
          <w:tcPr>
            <w:tcW w:w="1024" w:type="dxa"/>
            <w:shd w:val="clear" w:color="auto" w:fill="FFFFFF" w:themeFill="background1"/>
            <w:vAlign w:val="bottom"/>
          </w:tcPr>
          <w:p w14:paraId="67C9440A" w14:textId="77777777" w:rsidR="00B937BD" w:rsidRPr="00AA6E3A" w:rsidRDefault="00B937BD" w:rsidP="00B937BD">
            <w:pPr>
              <w:pStyle w:val="NoSpacing"/>
            </w:pPr>
            <w:r w:rsidRPr="00AA6E3A">
              <w:t>Sig.</w:t>
            </w:r>
          </w:p>
        </w:tc>
        <w:tc>
          <w:tcPr>
            <w:tcW w:w="1468" w:type="dxa"/>
            <w:shd w:val="clear" w:color="auto" w:fill="FFFFFF" w:themeFill="background1"/>
            <w:vAlign w:val="bottom"/>
          </w:tcPr>
          <w:p w14:paraId="2F442BBF" w14:textId="77777777" w:rsidR="00B937BD" w:rsidRPr="00AA6E3A" w:rsidRDefault="00B937BD" w:rsidP="00B937BD">
            <w:pPr>
              <w:pStyle w:val="NoSpacing"/>
            </w:pPr>
            <w:r w:rsidRPr="00AA6E3A">
              <w:t>Partial Eta Squared</w:t>
            </w:r>
          </w:p>
        </w:tc>
      </w:tr>
      <w:tr w:rsidR="00B937BD" w:rsidRPr="00AA6E3A" w14:paraId="612A70D2" w14:textId="77777777" w:rsidTr="005505BC">
        <w:trPr>
          <w:cantSplit/>
          <w:jc w:val="center"/>
        </w:trPr>
        <w:tc>
          <w:tcPr>
            <w:tcW w:w="1667" w:type="dxa"/>
            <w:shd w:val="clear" w:color="auto" w:fill="FFFFFF" w:themeFill="background1"/>
          </w:tcPr>
          <w:p w14:paraId="219B91B5" w14:textId="77777777" w:rsidR="00B937BD" w:rsidRPr="00AA6E3A" w:rsidRDefault="00B937BD" w:rsidP="00B937BD">
            <w:pPr>
              <w:pStyle w:val="NoSpacing"/>
            </w:pPr>
            <w:r w:rsidRPr="00AA6E3A">
              <w:t>Corrected Model</w:t>
            </w:r>
          </w:p>
        </w:tc>
        <w:tc>
          <w:tcPr>
            <w:tcW w:w="1468" w:type="dxa"/>
            <w:shd w:val="clear" w:color="auto" w:fill="FFFFFF" w:themeFill="background1"/>
          </w:tcPr>
          <w:p w14:paraId="683198E1" w14:textId="77777777" w:rsidR="00B937BD" w:rsidRPr="00AA6E3A" w:rsidRDefault="00B937BD" w:rsidP="00B937BD">
            <w:pPr>
              <w:pStyle w:val="NoSpacing"/>
            </w:pPr>
            <w:r w:rsidRPr="00AA6E3A">
              <w:t>10657.499</w:t>
            </w:r>
            <w:r w:rsidRPr="00AA6E3A">
              <w:rPr>
                <w:vertAlign w:val="superscript"/>
              </w:rPr>
              <w:t>a</w:t>
            </w:r>
          </w:p>
        </w:tc>
        <w:tc>
          <w:tcPr>
            <w:tcW w:w="1024" w:type="dxa"/>
            <w:shd w:val="clear" w:color="auto" w:fill="FFFFFF" w:themeFill="background1"/>
          </w:tcPr>
          <w:p w14:paraId="51C2DE8E" w14:textId="77777777" w:rsidR="00B937BD" w:rsidRPr="00AA6E3A" w:rsidRDefault="00B937BD" w:rsidP="00B937BD">
            <w:pPr>
              <w:pStyle w:val="NoSpacing"/>
            </w:pPr>
            <w:r w:rsidRPr="00AA6E3A">
              <w:t>3</w:t>
            </w:r>
          </w:p>
        </w:tc>
        <w:tc>
          <w:tcPr>
            <w:tcW w:w="1407" w:type="dxa"/>
            <w:shd w:val="clear" w:color="auto" w:fill="FFFFFF" w:themeFill="background1"/>
          </w:tcPr>
          <w:p w14:paraId="3BE0E03A" w14:textId="77777777" w:rsidR="00B937BD" w:rsidRPr="00AA6E3A" w:rsidRDefault="00B937BD" w:rsidP="00B937BD">
            <w:pPr>
              <w:pStyle w:val="NoSpacing"/>
            </w:pPr>
            <w:r w:rsidRPr="00AA6E3A">
              <w:t>3552.500</w:t>
            </w:r>
          </w:p>
        </w:tc>
        <w:tc>
          <w:tcPr>
            <w:tcW w:w="1024" w:type="dxa"/>
            <w:shd w:val="clear" w:color="auto" w:fill="FFFFFF" w:themeFill="background1"/>
          </w:tcPr>
          <w:p w14:paraId="3D06E777" w14:textId="77777777" w:rsidR="00B937BD" w:rsidRPr="00AA6E3A" w:rsidRDefault="00B937BD" w:rsidP="00B937BD">
            <w:pPr>
              <w:pStyle w:val="NoSpacing"/>
            </w:pPr>
            <w:r w:rsidRPr="00AA6E3A">
              <w:t>62.575</w:t>
            </w:r>
          </w:p>
        </w:tc>
        <w:tc>
          <w:tcPr>
            <w:tcW w:w="1024" w:type="dxa"/>
            <w:shd w:val="clear" w:color="auto" w:fill="FFFFFF" w:themeFill="background1"/>
          </w:tcPr>
          <w:p w14:paraId="4CEA8444" w14:textId="77777777" w:rsidR="00B937BD" w:rsidRPr="00AA6E3A" w:rsidRDefault="00B937BD" w:rsidP="00B937BD">
            <w:pPr>
              <w:pStyle w:val="NoSpacing"/>
            </w:pPr>
            <w:r w:rsidRPr="00AA6E3A">
              <w:t>.000</w:t>
            </w:r>
          </w:p>
        </w:tc>
        <w:tc>
          <w:tcPr>
            <w:tcW w:w="1468" w:type="dxa"/>
            <w:shd w:val="clear" w:color="auto" w:fill="FFFFFF" w:themeFill="background1"/>
          </w:tcPr>
          <w:p w14:paraId="5BE0FBD8" w14:textId="77777777" w:rsidR="00B937BD" w:rsidRPr="00AA6E3A" w:rsidRDefault="00B937BD" w:rsidP="00B937BD">
            <w:pPr>
              <w:pStyle w:val="NoSpacing"/>
            </w:pPr>
            <w:r w:rsidRPr="00AA6E3A">
              <w:t>.659</w:t>
            </w:r>
          </w:p>
        </w:tc>
      </w:tr>
      <w:tr w:rsidR="00B937BD" w:rsidRPr="00AA6E3A" w14:paraId="626D656E" w14:textId="77777777" w:rsidTr="005505BC">
        <w:trPr>
          <w:cantSplit/>
          <w:jc w:val="center"/>
        </w:trPr>
        <w:tc>
          <w:tcPr>
            <w:tcW w:w="1667" w:type="dxa"/>
            <w:shd w:val="clear" w:color="auto" w:fill="FFFFFF" w:themeFill="background1"/>
          </w:tcPr>
          <w:p w14:paraId="343722F3" w14:textId="77777777" w:rsidR="00B937BD" w:rsidRPr="00AA6E3A" w:rsidRDefault="00B937BD" w:rsidP="00B937BD">
            <w:pPr>
              <w:pStyle w:val="NoSpacing"/>
            </w:pPr>
            <w:r w:rsidRPr="00AA6E3A">
              <w:t>Intercept</w:t>
            </w:r>
          </w:p>
        </w:tc>
        <w:tc>
          <w:tcPr>
            <w:tcW w:w="1468" w:type="dxa"/>
            <w:shd w:val="clear" w:color="auto" w:fill="FFFFFF" w:themeFill="background1"/>
          </w:tcPr>
          <w:p w14:paraId="42448504" w14:textId="77777777" w:rsidR="00B937BD" w:rsidRPr="00AA6E3A" w:rsidRDefault="00B937BD" w:rsidP="00B937BD">
            <w:pPr>
              <w:pStyle w:val="NoSpacing"/>
            </w:pPr>
            <w:r w:rsidRPr="00AA6E3A">
              <w:t>1111.612</w:t>
            </w:r>
          </w:p>
        </w:tc>
        <w:tc>
          <w:tcPr>
            <w:tcW w:w="1024" w:type="dxa"/>
            <w:shd w:val="clear" w:color="auto" w:fill="FFFFFF" w:themeFill="background1"/>
          </w:tcPr>
          <w:p w14:paraId="59AFC1E5" w14:textId="77777777" w:rsidR="00B937BD" w:rsidRPr="00AA6E3A" w:rsidRDefault="00B937BD" w:rsidP="00B937BD">
            <w:pPr>
              <w:pStyle w:val="NoSpacing"/>
            </w:pPr>
            <w:r w:rsidRPr="00AA6E3A">
              <w:t>1</w:t>
            </w:r>
          </w:p>
        </w:tc>
        <w:tc>
          <w:tcPr>
            <w:tcW w:w="1407" w:type="dxa"/>
            <w:shd w:val="clear" w:color="auto" w:fill="FFFFFF" w:themeFill="background1"/>
          </w:tcPr>
          <w:p w14:paraId="46AE470E" w14:textId="77777777" w:rsidR="00B937BD" w:rsidRPr="00AA6E3A" w:rsidRDefault="00B937BD" w:rsidP="00B937BD">
            <w:pPr>
              <w:pStyle w:val="NoSpacing"/>
            </w:pPr>
            <w:r w:rsidRPr="00AA6E3A">
              <w:t>1111.612</w:t>
            </w:r>
          </w:p>
        </w:tc>
        <w:tc>
          <w:tcPr>
            <w:tcW w:w="1024" w:type="dxa"/>
            <w:shd w:val="clear" w:color="auto" w:fill="FFFFFF" w:themeFill="background1"/>
          </w:tcPr>
          <w:p w14:paraId="26E8CE43" w14:textId="77777777" w:rsidR="00B937BD" w:rsidRPr="00AA6E3A" w:rsidRDefault="00B937BD" w:rsidP="00B937BD">
            <w:pPr>
              <w:pStyle w:val="NoSpacing"/>
            </w:pPr>
            <w:r w:rsidRPr="00AA6E3A">
              <w:t>19.580</w:t>
            </w:r>
          </w:p>
        </w:tc>
        <w:tc>
          <w:tcPr>
            <w:tcW w:w="1024" w:type="dxa"/>
            <w:shd w:val="clear" w:color="auto" w:fill="FFFFFF" w:themeFill="background1"/>
          </w:tcPr>
          <w:p w14:paraId="4C3DA293" w14:textId="77777777" w:rsidR="00B937BD" w:rsidRPr="00AA6E3A" w:rsidRDefault="00B937BD" w:rsidP="00B937BD">
            <w:pPr>
              <w:pStyle w:val="NoSpacing"/>
            </w:pPr>
            <w:r w:rsidRPr="00AA6E3A">
              <w:t>.000</w:t>
            </w:r>
          </w:p>
        </w:tc>
        <w:tc>
          <w:tcPr>
            <w:tcW w:w="1468" w:type="dxa"/>
            <w:shd w:val="clear" w:color="auto" w:fill="FFFFFF" w:themeFill="background1"/>
          </w:tcPr>
          <w:p w14:paraId="7392D11E" w14:textId="77777777" w:rsidR="00B937BD" w:rsidRPr="00AA6E3A" w:rsidRDefault="00B937BD" w:rsidP="00B937BD">
            <w:pPr>
              <w:pStyle w:val="NoSpacing"/>
            </w:pPr>
            <w:r w:rsidRPr="00AA6E3A">
              <w:t>.168</w:t>
            </w:r>
          </w:p>
        </w:tc>
      </w:tr>
      <w:tr w:rsidR="00B937BD" w:rsidRPr="00AA6E3A" w14:paraId="00EF269F" w14:textId="77777777" w:rsidTr="005505BC">
        <w:trPr>
          <w:cantSplit/>
          <w:jc w:val="center"/>
        </w:trPr>
        <w:tc>
          <w:tcPr>
            <w:tcW w:w="1667" w:type="dxa"/>
            <w:shd w:val="clear" w:color="auto" w:fill="FFFFFF" w:themeFill="background1"/>
          </w:tcPr>
          <w:p w14:paraId="19D91EC8" w14:textId="77777777" w:rsidR="00B937BD" w:rsidRPr="00AA6E3A" w:rsidRDefault="00B937BD" w:rsidP="00B937BD">
            <w:pPr>
              <w:pStyle w:val="NoSpacing"/>
            </w:pPr>
            <w:r w:rsidRPr="00AA6E3A">
              <w:t>group</w:t>
            </w:r>
          </w:p>
        </w:tc>
        <w:tc>
          <w:tcPr>
            <w:tcW w:w="1468" w:type="dxa"/>
            <w:shd w:val="clear" w:color="auto" w:fill="FFFFFF" w:themeFill="background1"/>
          </w:tcPr>
          <w:p w14:paraId="397E8EC3" w14:textId="77777777" w:rsidR="00B937BD" w:rsidRPr="00AA6E3A" w:rsidRDefault="00B937BD" w:rsidP="00B937BD">
            <w:pPr>
              <w:pStyle w:val="NoSpacing"/>
            </w:pPr>
            <w:r w:rsidRPr="00AA6E3A">
              <w:t>328.087</w:t>
            </w:r>
          </w:p>
        </w:tc>
        <w:tc>
          <w:tcPr>
            <w:tcW w:w="1024" w:type="dxa"/>
            <w:shd w:val="clear" w:color="auto" w:fill="FFFFFF" w:themeFill="background1"/>
          </w:tcPr>
          <w:p w14:paraId="473799D8" w14:textId="77777777" w:rsidR="00B937BD" w:rsidRPr="00AA6E3A" w:rsidRDefault="00B937BD" w:rsidP="00B937BD">
            <w:pPr>
              <w:pStyle w:val="NoSpacing"/>
            </w:pPr>
            <w:r w:rsidRPr="00AA6E3A">
              <w:t>1</w:t>
            </w:r>
          </w:p>
        </w:tc>
        <w:tc>
          <w:tcPr>
            <w:tcW w:w="1407" w:type="dxa"/>
            <w:shd w:val="clear" w:color="auto" w:fill="FFFFFF" w:themeFill="background1"/>
          </w:tcPr>
          <w:p w14:paraId="3B15C67D" w14:textId="77777777" w:rsidR="00B937BD" w:rsidRPr="00AA6E3A" w:rsidRDefault="00B937BD" w:rsidP="00B937BD">
            <w:pPr>
              <w:pStyle w:val="NoSpacing"/>
            </w:pPr>
            <w:r w:rsidRPr="00AA6E3A">
              <w:t>328.087</w:t>
            </w:r>
          </w:p>
        </w:tc>
        <w:tc>
          <w:tcPr>
            <w:tcW w:w="1024" w:type="dxa"/>
            <w:shd w:val="clear" w:color="auto" w:fill="FFFFFF" w:themeFill="background1"/>
          </w:tcPr>
          <w:p w14:paraId="4D6C8D24" w14:textId="77777777" w:rsidR="00B937BD" w:rsidRPr="00AA6E3A" w:rsidRDefault="00B937BD" w:rsidP="00B937BD">
            <w:pPr>
              <w:pStyle w:val="NoSpacing"/>
            </w:pPr>
            <w:r w:rsidRPr="00AA6E3A">
              <w:t>5.779</w:t>
            </w:r>
          </w:p>
        </w:tc>
        <w:tc>
          <w:tcPr>
            <w:tcW w:w="1024" w:type="dxa"/>
            <w:shd w:val="clear" w:color="auto" w:fill="FFFFFF" w:themeFill="background1"/>
          </w:tcPr>
          <w:p w14:paraId="586F6EDA" w14:textId="77777777" w:rsidR="00B937BD" w:rsidRPr="00AA6E3A" w:rsidRDefault="00B937BD" w:rsidP="00B937BD">
            <w:pPr>
              <w:pStyle w:val="NoSpacing"/>
            </w:pPr>
            <w:r w:rsidRPr="00AA6E3A">
              <w:t>.018</w:t>
            </w:r>
          </w:p>
        </w:tc>
        <w:tc>
          <w:tcPr>
            <w:tcW w:w="1468" w:type="dxa"/>
            <w:shd w:val="clear" w:color="auto" w:fill="FFFFFF" w:themeFill="background1"/>
          </w:tcPr>
          <w:p w14:paraId="45FC73B1" w14:textId="77777777" w:rsidR="00B937BD" w:rsidRPr="00AA6E3A" w:rsidRDefault="00B937BD" w:rsidP="00B937BD">
            <w:pPr>
              <w:pStyle w:val="NoSpacing"/>
            </w:pPr>
            <w:r w:rsidRPr="00AA6E3A">
              <w:t>.056</w:t>
            </w:r>
          </w:p>
        </w:tc>
      </w:tr>
      <w:tr w:rsidR="00B937BD" w:rsidRPr="00AA6E3A" w14:paraId="27F6B913" w14:textId="77777777" w:rsidTr="005505BC">
        <w:trPr>
          <w:cantSplit/>
          <w:jc w:val="center"/>
        </w:trPr>
        <w:tc>
          <w:tcPr>
            <w:tcW w:w="1667" w:type="dxa"/>
            <w:shd w:val="clear" w:color="auto" w:fill="FFFFFF" w:themeFill="background1"/>
          </w:tcPr>
          <w:p w14:paraId="71A942A7" w14:textId="77777777" w:rsidR="00B937BD" w:rsidRPr="00AA6E3A" w:rsidRDefault="00B937BD" w:rsidP="00B937BD">
            <w:pPr>
              <w:pStyle w:val="NoSpacing"/>
            </w:pPr>
            <w:r w:rsidRPr="00AA6E3A">
              <w:t>pretest</w:t>
            </w:r>
          </w:p>
        </w:tc>
        <w:tc>
          <w:tcPr>
            <w:tcW w:w="1468" w:type="dxa"/>
            <w:shd w:val="clear" w:color="auto" w:fill="FFFFFF" w:themeFill="background1"/>
          </w:tcPr>
          <w:p w14:paraId="056EF6E9" w14:textId="77777777" w:rsidR="00B937BD" w:rsidRPr="00AA6E3A" w:rsidRDefault="00B937BD" w:rsidP="00B937BD">
            <w:pPr>
              <w:pStyle w:val="NoSpacing"/>
            </w:pPr>
            <w:r w:rsidRPr="00AA6E3A">
              <w:t>10281.054</w:t>
            </w:r>
          </w:p>
        </w:tc>
        <w:tc>
          <w:tcPr>
            <w:tcW w:w="1024" w:type="dxa"/>
            <w:shd w:val="clear" w:color="auto" w:fill="FFFFFF" w:themeFill="background1"/>
          </w:tcPr>
          <w:p w14:paraId="0D02F96D" w14:textId="77777777" w:rsidR="00B937BD" w:rsidRPr="00AA6E3A" w:rsidRDefault="00B937BD" w:rsidP="00B937BD">
            <w:pPr>
              <w:pStyle w:val="NoSpacing"/>
            </w:pPr>
            <w:r w:rsidRPr="00AA6E3A">
              <w:t>1</w:t>
            </w:r>
          </w:p>
        </w:tc>
        <w:tc>
          <w:tcPr>
            <w:tcW w:w="1407" w:type="dxa"/>
            <w:shd w:val="clear" w:color="auto" w:fill="FFFFFF" w:themeFill="background1"/>
          </w:tcPr>
          <w:p w14:paraId="46278797" w14:textId="77777777" w:rsidR="00B937BD" w:rsidRPr="00AA6E3A" w:rsidRDefault="00B937BD" w:rsidP="00B937BD">
            <w:pPr>
              <w:pStyle w:val="NoSpacing"/>
            </w:pPr>
            <w:r w:rsidRPr="00AA6E3A">
              <w:t>10281.054</w:t>
            </w:r>
          </w:p>
        </w:tc>
        <w:tc>
          <w:tcPr>
            <w:tcW w:w="1024" w:type="dxa"/>
            <w:shd w:val="clear" w:color="auto" w:fill="FFFFFF" w:themeFill="background1"/>
          </w:tcPr>
          <w:p w14:paraId="75898026" w14:textId="77777777" w:rsidR="00B937BD" w:rsidRPr="00AA6E3A" w:rsidRDefault="00B937BD" w:rsidP="00B937BD">
            <w:pPr>
              <w:pStyle w:val="NoSpacing"/>
            </w:pPr>
            <w:r w:rsidRPr="00AA6E3A">
              <w:t>181.095</w:t>
            </w:r>
          </w:p>
        </w:tc>
        <w:tc>
          <w:tcPr>
            <w:tcW w:w="1024" w:type="dxa"/>
            <w:shd w:val="clear" w:color="auto" w:fill="FFFFFF" w:themeFill="background1"/>
          </w:tcPr>
          <w:p w14:paraId="370618E8" w14:textId="77777777" w:rsidR="00B937BD" w:rsidRPr="00AA6E3A" w:rsidRDefault="00B937BD" w:rsidP="00B937BD">
            <w:pPr>
              <w:pStyle w:val="NoSpacing"/>
            </w:pPr>
            <w:r w:rsidRPr="00AA6E3A">
              <w:t>.000</w:t>
            </w:r>
          </w:p>
        </w:tc>
        <w:tc>
          <w:tcPr>
            <w:tcW w:w="1468" w:type="dxa"/>
            <w:shd w:val="clear" w:color="auto" w:fill="FFFFFF" w:themeFill="background1"/>
          </w:tcPr>
          <w:p w14:paraId="7FF653B8" w14:textId="77777777" w:rsidR="00B937BD" w:rsidRPr="00AA6E3A" w:rsidRDefault="00B937BD" w:rsidP="00B937BD">
            <w:pPr>
              <w:pStyle w:val="NoSpacing"/>
            </w:pPr>
            <w:r w:rsidRPr="00AA6E3A">
              <w:t>.651</w:t>
            </w:r>
          </w:p>
        </w:tc>
      </w:tr>
      <w:tr w:rsidR="00B937BD" w:rsidRPr="00AA6E3A" w14:paraId="38C95430" w14:textId="77777777" w:rsidTr="005505BC">
        <w:trPr>
          <w:cantSplit/>
          <w:jc w:val="center"/>
        </w:trPr>
        <w:tc>
          <w:tcPr>
            <w:tcW w:w="1667" w:type="dxa"/>
            <w:shd w:val="clear" w:color="auto" w:fill="FFFFFF" w:themeFill="background1"/>
          </w:tcPr>
          <w:p w14:paraId="3F26D1DD" w14:textId="77777777" w:rsidR="00B937BD" w:rsidRPr="00AA6E3A" w:rsidRDefault="00B937BD" w:rsidP="00B937BD">
            <w:pPr>
              <w:pStyle w:val="NoSpacing"/>
            </w:pPr>
            <w:r w:rsidRPr="00AA6E3A">
              <w:t>group * pretest</w:t>
            </w:r>
          </w:p>
        </w:tc>
        <w:tc>
          <w:tcPr>
            <w:tcW w:w="1468" w:type="dxa"/>
            <w:shd w:val="clear" w:color="auto" w:fill="FFFFFF" w:themeFill="background1"/>
          </w:tcPr>
          <w:p w14:paraId="4F4DDB75" w14:textId="77777777" w:rsidR="00B937BD" w:rsidRPr="00AA6E3A" w:rsidRDefault="00B937BD" w:rsidP="00B937BD">
            <w:pPr>
              <w:pStyle w:val="NoSpacing"/>
            </w:pPr>
            <w:r w:rsidRPr="00AA6E3A">
              <w:t>182.285</w:t>
            </w:r>
          </w:p>
        </w:tc>
        <w:tc>
          <w:tcPr>
            <w:tcW w:w="1024" w:type="dxa"/>
            <w:shd w:val="clear" w:color="auto" w:fill="FFFFFF" w:themeFill="background1"/>
          </w:tcPr>
          <w:p w14:paraId="78E8FEFA" w14:textId="77777777" w:rsidR="00B937BD" w:rsidRPr="00AA6E3A" w:rsidRDefault="00B937BD" w:rsidP="00B937BD">
            <w:pPr>
              <w:pStyle w:val="NoSpacing"/>
            </w:pPr>
            <w:r w:rsidRPr="00AA6E3A">
              <w:t>1</w:t>
            </w:r>
          </w:p>
        </w:tc>
        <w:tc>
          <w:tcPr>
            <w:tcW w:w="1407" w:type="dxa"/>
            <w:shd w:val="clear" w:color="auto" w:fill="FFFFFF" w:themeFill="background1"/>
          </w:tcPr>
          <w:p w14:paraId="1D8AB71B" w14:textId="77777777" w:rsidR="00B937BD" w:rsidRPr="00AA6E3A" w:rsidRDefault="00B937BD" w:rsidP="00B937BD">
            <w:pPr>
              <w:pStyle w:val="NoSpacing"/>
            </w:pPr>
            <w:r w:rsidRPr="00AA6E3A">
              <w:t>182.285</w:t>
            </w:r>
          </w:p>
        </w:tc>
        <w:tc>
          <w:tcPr>
            <w:tcW w:w="1024" w:type="dxa"/>
            <w:shd w:val="clear" w:color="auto" w:fill="FFFFFF" w:themeFill="background1"/>
          </w:tcPr>
          <w:p w14:paraId="6D9F4B11" w14:textId="77777777" w:rsidR="00B937BD" w:rsidRPr="00AA6E3A" w:rsidRDefault="00B937BD" w:rsidP="00B937BD">
            <w:pPr>
              <w:pStyle w:val="NoSpacing"/>
            </w:pPr>
            <w:r w:rsidRPr="00AA6E3A">
              <w:t>3.211</w:t>
            </w:r>
          </w:p>
        </w:tc>
        <w:tc>
          <w:tcPr>
            <w:tcW w:w="1024" w:type="dxa"/>
            <w:shd w:val="clear" w:color="auto" w:fill="FFFFFF" w:themeFill="background1"/>
          </w:tcPr>
          <w:p w14:paraId="130FB73A" w14:textId="77777777" w:rsidR="00B937BD" w:rsidRPr="00AA6E3A" w:rsidRDefault="00B937BD" w:rsidP="00B937BD">
            <w:pPr>
              <w:pStyle w:val="NoSpacing"/>
            </w:pPr>
            <w:r w:rsidRPr="00AA6E3A">
              <w:t>.076</w:t>
            </w:r>
          </w:p>
        </w:tc>
        <w:tc>
          <w:tcPr>
            <w:tcW w:w="1468" w:type="dxa"/>
            <w:shd w:val="clear" w:color="auto" w:fill="FFFFFF" w:themeFill="background1"/>
          </w:tcPr>
          <w:p w14:paraId="5CF4DCD9" w14:textId="77777777" w:rsidR="00B937BD" w:rsidRPr="00AA6E3A" w:rsidRDefault="00B937BD" w:rsidP="00B937BD">
            <w:pPr>
              <w:pStyle w:val="NoSpacing"/>
            </w:pPr>
            <w:r w:rsidRPr="00AA6E3A">
              <w:t>.032</w:t>
            </w:r>
          </w:p>
        </w:tc>
      </w:tr>
      <w:tr w:rsidR="00B937BD" w:rsidRPr="00AA6E3A" w14:paraId="621E7B53" w14:textId="77777777" w:rsidTr="005505BC">
        <w:trPr>
          <w:cantSplit/>
          <w:jc w:val="center"/>
        </w:trPr>
        <w:tc>
          <w:tcPr>
            <w:tcW w:w="1667" w:type="dxa"/>
            <w:shd w:val="clear" w:color="auto" w:fill="FFFFFF" w:themeFill="background1"/>
          </w:tcPr>
          <w:p w14:paraId="1EAF89BC" w14:textId="77777777" w:rsidR="00B937BD" w:rsidRPr="00AA6E3A" w:rsidRDefault="00B937BD" w:rsidP="00B937BD">
            <w:pPr>
              <w:pStyle w:val="NoSpacing"/>
            </w:pPr>
            <w:r w:rsidRPr="00AA6E3A">
              <w:t>Error</w:t>
            </w:r>
          </w:p>
        </w:tc>
        <w:tc>
          <w:tcPr>
            <w:tcW w:w="1468" w:type="dxa"/>
            <w:shd w:val="clear" w:color="auto" w:fill="FFFFFF" w:themeFill="background1"/>
          </w:tcPr>
          <w:p w14:paraId="4F43B209" w14:textId="77777777" w:rsidR="00B937BD" w:rsidRPr="00AA6E3A" w:rsidRDefault="00B937BD" w:rsidP="00B937BD">
            <w:pPr>
              <w:pStyle w:val="NoSpacing"/>
            </w:pPr>
            <w:r w:rsidRPr="00AA6E3A">
              <w:t>5506.857</w:t>
            </w:r>
          </w:p>
        </w:tc>
        <w:tc>
          <w:tcPr>
            <w:tcW w:w="1024" w:type="dxa"/>
            <w:shd w:val="clear" w:color="auto" w:fill="FFFFFF" w:themeFill="background1"/>
          </w:tcPr>
          <w:p w14:paraId="7311DAB5" w14:textId="77777777" w:rsidR="00B937BD" w:rsidRPr="00AA6E3A" w:rsidRDefault="00B937BD" w:rsidP="00B937BD">
            <w:pPr>
              <w:pStyle w:val="NoSpacing"/>
            </w:pPr>
            <w:r w:rsidRPr="00AA6E3A">
              <w:t>97</w:t>
            </w:r>
          </w:p>
        </w:tc>
        <w:tc>
          <w:tcPr>
            <w:tcW w:w="1407" w:type="dxa"/>
            <w:shd w:val="clear" w:color="auto" w:fill="FFFFFF" w:themeFill="background1"/>
          </w:tcPr>
          <w:p w14:paraId="0F0050FC" w14:textId="77777777" w:rsidR="00B937BD" w:rsidRPr="00AA6E3A" w:rsidRDefault="00B937BD" w:rsidP="00B937BD">
            <w:pPr>
              <w:pStyle w:val="NoSpacing"/>
            </w:pPr>
            <w:r w:rsidRPr="00AA6E3A">
              <w:t>56.772</w:t>
            </w:r>
          </w:p>
        </w:tc>
        <w:tc>
          <w:tcPr>
            <w:tcW w:w="1024" w:type="dxa"/>
            <w:shd w:val="clear" w:color="auto" w:fill="FFFFFF" w:themeFill="background1"/>
            <w:vAlign w:val="center"/>
          </w:tcPr>
          <w:p w14:paraId="1A2F9782" w14:textId="77777777" w:rsidR="00B937BD" w:rsidRPr="00AA6E3A" w:rsidRDefault="00B937BD" w:rsidP="00B937BD">
            <w:pPr>
              <w:pStyle w:val="NoSpacing"/>
            </w:pPr>
          </w:p>
        </w:tc>
        <w:tc>
          <w:tcPr>
            <w:tcW w:w="1024" w:type="dxa"/>
            <w:shd w:val="clear" w:color="auto" w:fill="FFFFFF" w:themeFill="background1"/>
            <w:vAlign w:val="center"/>
          </w:tcPr>
          <w:p w14:paraId="2ED42667" w14:textId="77777777" w:rsidR="00B937BD" w:rsidRPr="00AA6E3A" w:rsidRDefault="00B937BD" w:rsidP="00B937BD">
            <w:pPr>
              <w:pStyle w:val="NoSpacing"/>
            </w:pPr>
          </w:p>
        </w:tc>
        <w:tc>
          <w:tcPr>
            <w:tcW w:w="1468" w:type="dxa"/>
            <w:shd w:val="clear" w:color="auto" w:fill="FFFFFF" w:themeFill="background1"/>
            <w:vAlign w:val="center"/>
          </w:tcPr>
          <w:p w14:paraId="1BD1FE88" w14:textId="77777777" w:rsidR="00B937BD" w:rsidRPr="00AA6E3A" w:rsidRDefault="00B937BD" w:rsidP="00B937BD">
            <w:pPr>
              <w:pStyle w:val="NoSpacing"/>
            </w:pPr>
          </w:p>
        </w:tc>
      </w:tr>
      <w:tr w:rsidR="00B937BD" w:rsidRPr="00AA6E3A" w14:paraId="6B834B04" w14:textId="77777777" w:rsidTr="005505BC">
        <w:trPr>
          <w:cantSplit/>
          <w:jc w:val="center"/>
        </w:trPr>
        <w:tc>
          <w:tcPr>
            <w:tcW w:w="1667" w:type="dxa"/>
            <w:shd w:val="clear" w:color="auto" w:fill="FFFFFF" w:themeFill="background1"/>
          </w:tcPr>
          <w:p w14:paraId="466E09C6" w14:textId="77777777" w:rsidR="00B937BD" w:rsidRPr="00AA6E3A" w:rsidRDefault="00B937BD" w:rsidP="00B937BD">
            <w:pPr>
              <w:pStyle w:val="NoSpacing"/>
            </w:pPr>
            <w:r w:rsidRPr="00AA6E3A">
              <w:t>Total</w:t>
            </w:r>
          </w:p>
        </w:tc>
        <w:tc>
          <w:tcPr>
            <w:tcW w:w="1468" w:type="dxa"/>
            <w:shd w:val="clear" w:color="auto" w:fill="FFFFFF" w:themeFill="background1"/>
          </w:tcPr>
          <w:p w14:paraId="0679DCFB" w14:textId="77777777" w:rsidR="00B937BD" w:rsidRPr="00AA6E3A" w:rsidRDefault="00B937BD" w:rsidP="00B937BD">
            <w:pPr>
              <w:pStyle w:val="NoSpacing"/>
            </w:pPr>
            <w:r w:rsidRPr="00AA6E3A">
              <w:t>109541.000</w:t>
            </w:r>
          </w:p>
        </w:tc>
        <w:tc>
          <w:tcPr>
            <w:tcW w:w="1024" w:type="dxa"/>
            <w:shd w:val="clear" w:color="auto" w:fill="FFFFFF" w:themeFill="background1"/>
          </w:tcPr>
          <w:p w14:paraId="0C1F39D1" w14:textId="77777777" w:rsidR="00B937BD" w:rsidRPr="00AA6E3A" w:rsidRDefault="00B937BD" w:rsidP="00B937BD">
            <w:pPr>
              <w:pStyle w:val="NoSpacing"/>
            </w:pPr>
            <w:r w:rsidRPr="00AA6E3A">
              <w:t>101</w:t>
            </w:r>
          </w:p>
        </w:tc>
        <w:tc>
          <w:tcPr>
            <w:tcW w:w="1407" w:type="dxa"/>
            <w:shd w:val="clear" w:color="auto" w:fill="FFFFFF" w:themeFill="background1"/>
            <w:vAlign w:val="center"/>
          </w:tcPr>
          <w:p w14:paraId="24F9B5FC" w14:textId="77777777" w:rsidR="00B937BD" w:rsidRPr="00AA6E3A" w:rsidRDefault="00B937BD" w:rsidP="00B937BD">
            <w:pPr>
              <w:pStyle w:val="NoSpacing"/>
            </w:pPr>
          </w:p>
        </w:tc>
        <w:tc>
          <w:tcPr>
            <w:tcW w:w="1024" w:type="dxa"/>
            <w:shd w:val="clear" w:color="auto" w:fill="FFFFFF" w:themeFill="background1"/>
            <w:vAlign w:val="center"/>
          </w:tcPr>
          <w:p w14:paraId="1AC73AB9" w14:textId="77777777" w:rsidR="00B937BD" w:rsidRPr="00AA6E3A" w:rsidRDefault="00B937BD" w:rsidP="00B937BD">
            <w:pPr>
              <w:pStyle w:val="NoSpacing"/>
            </w:pPr>
          </w:p>
        </w:tc>
        <w:tc>
          <w:tcPr>
            <w:tcW w:w="1024" w:type="dxa"/>
            <w:shd w:val="clear" w:color="auto" w:fill="FFFFFF" w:themeFill="background1"/>
            <w:vAlign w:val="center"/>
          </w:tcPr>
          <w:p w14:paraId="68248B32" w14:textId="77777777" w:rsidR="00B937BD" w:rsidRPr="00AA6E3A" w:rsidRDefault="00B937BD" w:rsidP="00B937BD">
            <w:pPr>
              <w:pStyle w:val="NoSpacing"/>
            </w:pPr>
          </w:p>
        </w:tc>
        <w:tc>
          <w:tcPr>
            <w:tcW w:w="1468" w:type="dxa"/>
            <w:shd w:val="clear" w:color="auto" w:fill="FFFFFF" w:themeFill="background1"/>
            <w:vAlign w:val="center"/>
          </w:tcPr>
          <w:p w14:paraId="5CFCDBA6" w14:textId="77777777" w:rsidR="00B937BD" w:rsidRPr="00AA6E3A" w:rsidRDefault="00B937BD" w:rsidP="00B937BD">
            <w:pPr>
              <w:pStyle w:val="NoSpacing"/>
            </w:pPr>
          </w:p>
        </w:tc>
      </w:tr>
      <w:tr w:rsidR="00B937BD" w:rsidRPr="00AA6E3A" w14:paraId="16573943" w14:textId="77777777" w:rsidTr="005505BC">
        <w:trPr>
          <w:cantSplit/>
          <w:jc w:val="center"/>
        </w:trPr>
        <w:tc>
          <w:tcPr>
            <w:tcW w:w="1667" w:type="dxa"/>
            <w:shd w:val="clear" w:color="auto" w:fill="FFFFFF" w:themeFill="background1"/>
          </w:tcPr>
          <w:p w14:paraId="26E1BEE2" w14:textId="77777777" w:rsidR="00B937BD" w:rsidRPr="00AA6E3A" w:rsidRDefault="00B937BD" w:rsidP="00B937BD">
            <w:pPr>
              <w:pStyle w:val="NoSpacing"/>
            </w:pPr>
            <w:r w:rsidRPr="00AA6E3A">
              <w:t>Corrected Total</w:t>
            </w:r>
          </w:p>
        </w:tc>
        <w:tc>
          <w:tcPr>
            <w:tcW w:w="1468" w:type="dxa"/>
            <w:shd w:val="clear" w:color="auto" w:fill="FFFFFF" w:themeFill="background1"/>
          </w:tcPr>
          <w:p w14:paraId="3D64A344" w14:textId="77777777" w:rsidR="00B937BD" w:rsidRPr="00AA6E3A" w:rsidRDefault="00B937BD" w:rsidP="00B937BD">
            <w:pPr>
              <w:pStyle w:val="NoSpacing"/>
            </w:pPr>
            <w:r w:rsidRPr="00AA6E3A">
              <w:t>16164.356</w:t>
            </w:r>
          </w:p>
        </w:tc>
        <w:tc>
          <w:tcPr>
            <w:tcW w:w="1024" w:type="dxa"/>
            <w:shd w:val="clear" w:color="auto" w:fill="FFFFFF" w:themeFill="background1"/>
          </w:tcPr>
          <w:p w14:paraId="58D84643" w14:textId="77777777" w:rsidR="00B937BD" w:rsidRPr="00AA6E3A" w:rsidRDefault="00B937BD" w:rsidP="00B937BD">
            <w:pPr>
              <w:pStyle w:val="NoSpacing"/>
            </w:pPr>
            <w:r w:rsidRPr="00AA6E3A">
              <w:t>100</w:t>
            </w:r>
          </w:p>
        </w:tc>
        <w:tc>
          <w:tcPr>
            <w:tcW w:w="1407" w:type="dxa"/>
            <w:shd w:val="clear" w:color="auto" w:fill="FFFFFF" w:themeFill="background1"/>
            <w:vAlign w:val="center"/>
          </w:tcPr>
          <w:p w14:paraId="7C0C5B04" w14:textId="77777777" w:rsidR="00B937BD" w:rsidRPr="00AA6E3A" w:rsidRDefault="00B937BD" w:rsidP="00B937BD">
            <w:pPr>
              <w:pStyle w:val="NoSpacing"/>
            </w:pPr>
          </w:p>
        </w:tc>
        <w:tc>
          <w:tcPr>
            <w:tcW w:w="1024" w:type="dxa"/>
            <w:shd w:val="clear" w:color="auto" w:fill="FFFFFF" w:themeFill="background1"/>
            <w:vAlign w:val="center"/>
          </w:tcPr>
          <w:p w14:paraId="010CB120" w14:textId="77777777" w:rsidR="00B937BD" w:rsidRPr="00AA6E3A" w:rsidRDefault="00B937BD" w:rsidP="00B937BD">
            <w:pPr>
              <w:pStyle w:val="NoSpacing"/>
            </w:pPr>
          </w:p>
        </w:tc>
        <w:tc>
          <w:tcPr>
            <w:tcW w:w="1024" w:type="dxa"/>
            <w:shd w:val="clear" w:color="auto" w:fill="FFFFFF" w:themeFill="background1"/>
            <w:vAlign w:val="center"/>
          </w:tcPr>
          <w:p w14:paraId="5EF3D816" w14:textId="77777777" w:rsidR="00B937BD" w:rsidRPr="00AA6E3A" w:rsidRDefault="00B937BD" w:rsidP="00B937BD">
            <w:pPr>
              <w:pStyle w:val="NoSpacing"/>
            </w:pPr>
          </w:p>
        </w:tc>
        <w:tc>
          <w:tcPr>
            <w:tcW w:w="1468" w:type="dxa"/>
            <w:shd w:val="clear" w:color="auto" w:fill="FFFFFF" w:themeFill="background1"/>
            <w:vAlign w:val="center"/>
          </w:tcPr>
          <w:p w14:paraId="4BB5BE6D" w14:textId="77777777" w:rsidR="00B937BD" w:rsidRPr="00AA6E3A" w:rsidRDefault="00B937BD" w:rsidP="00B937BD">
            <w:pPr>
              <w:pStyle w:val="NoSpacing"/>
            </w:pPr>
          </w:p>
        </w:tc>
      </w:tr>
      <w:tr w:rsidR="00B937BD" w:rsidRPr="00AA6E3A" w14:paraId="49584A3C" w14:textId="77777777" w:rsidTr="005505BC">
        <w:trPr>
          <w:cantSplit/>
          <w:jc w:val="center"/>
        </w:trPr>
        <w:tc>
          <w:tcPr>
            <w:tcW w:w="9082" w:type="dxa"/>
            <w:gridSpan w:val="7"/>
            <w:shd w:val="clear" w:color="auto" w:fill="FFFFFF" w:themeFill="background1"/>
          </w:tcPr>
          <w:p w14:paraId="2B3C74C4" w14:textId="77777777" w:rsidR="00B937BD" w:rsidRPr="00AA6E3A" w:rsidRDefault="00B937BD" w:rsidP="00B937BD">
            <w:pPr>
              <w:pStyle w:val="NoSpacing"/>
            </w:pPr>
            <w:r w:rsidRPr="00AA6E3A">
              <w:t>a. R Squared = .659 (Adjusted R Squared = .649)</w:t>
            </w:r>
          </w:p>
        </w:tc>
      </w:tr>
    </w:tbl>
    <w:p w14:paraId="5B24C121" w14:textId="77777777" w:rsidR="00B937BD" w:rsidRPr="00B937BD" w:rsidRDefault="00B937BD" w:rsidP="00B937BD">
      <w:pPr>
        <w:pStyle w:val="ListParagraph"/>
        <w:autoSpaceDE w:val="0"/>
        <w:autoSpaceDN w:val="0"/>
        <w:adjustRightInd w:val="0"/>
        <w:spacing w:after="0" w:line="400" w:lineRule="atLeast"/>
        <w:rPr>
          <w:rFonts w:ascii="Times New Roman" w:hAnsi="Times New Roman" w:cs="Times New Roman"/>
          <w:sz w:val="24"/>
          <w:szCs w:val="24"/>
        </w:rPr>
      </w:pPr>
    </w:p>
    <w:p w14:paraId="2C11E6F5" w14:textId="0EBCE797"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lastRenderedPageBreak/>
        <w:t xml:space="preserve">As Table 7 titled Tests of Between-Subject Effects shows, the interaction between group (treatment) and pretest (covariate) turns out to be F (1, 101) = 3.21, p = .07, η = .03, which is not statistically significant, showing there is no significant interaction between the aforementioned variables. Hence, the results can be safely analyzed. </w:t>
      </w:r>
    </w:p>
    <w:p w14:paraId="45D601EC" w14:textId="77777777"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However, the covariate (pretest) seems to be significant (F (1, 101) = 181.095, p = .00, η = 0.65), meaning the effect of the pretest has been carried over from the beginning of the study up to the end of it. </w:t>
      </w:r>
    </w:p>
    <w:p w14:paraId="5307A89C" w14:textId="27DB7442"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Next, the treatment effect is to be examined. The results are seemingly significant (F (1, 101) = 5.77, p = .01). Nevertheless, it needs to be mentioned that since covariate is also significant, the </w:t>
      </w:r>
      <w:r w:rsidR="00A64747" w:rsidRPr="00B47A38">
        <w:rPr>
          <w:rFonts w:asciiTheme="majorBidi" w:hAnsiTheme="majorBidi" w:cstheme="majorBidi"/>
        </w:rPr>
        <w:t>researchers</w:t>
      </w:r>
      <w:r w:rsidRPr="00B47A38">
        <w:rPr>
          <w:rFonts w:asciiTheme="majorBidi" w:hAnsiTheme="majorBidi" w:cstheme="majorBidi"/>
        </w:rPr>
        <w:t xml:space="preserve"> </w:t>
      </w:r>
      <w:r w:rsidR="00996EE0" w:rsidRPr="00B47A38">
        <w:rPr>
          <w:rFonts w:asciiTheme="majorBidi" w:hAnsiTheme="majorBidi" w:cstheme="majorBidi"/>
        </w:rPr>
        <w:t>have</w:t>
      </w:r>
      <w:r w:rsidRPr="00B47A38">
        <w:rPr>
          <w:rFonts w:asciiTheme="majorBidi" w:hAnsiTheme="majorBidi" w:cstheme="majorBidi"/>
        </w:rPr>
        <w:t xml:space="preserve"> to examine mean differences. </w:t>
      </w:r>
    </w:p>
    <w:tbl>
      <w:tblPr>
        <w:tblW w:w="8765"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131"/>
        <w:gridCol w:w="1131"/>
        <w:gridCol w:w="1469"/>
        <w:gridCol w:w="1071"/>
        <w:gridCol w:w="1025"/>
        <w:gridCol w:w="1469"/>
        <w:gridCol w:w="1469"/>
      </w:tblGrid>
      <w:tr w:rsidR="00B937BD" w:rsidRPr="00AA6E3A" w14:paraId="07B9CFB9" w14:textId="77777777" w:rsidTr="005505BC">
        <w:trPr>
          <w:cantSplit/>
          <w:jc w:val="center"/>
        </w:trPr>
        <w:tc>
          <w:tcPr>
            <w:tcW w:w="8760" w:type="dxa"/>
            <w:gridSpan w:val="7"/>
            <w:shd w:val="clear" w:color="auto" w:fill="FFFFFF" w:themeFill="background1"/>
            <w:vAlign w:val="center"/>
          </w:tcPr>
          <w:p w14:paraId="67DC4116" w14:textId="62F4F289" w:rsidR="00B937BD" w:rsidRPr="00B937BD" w:rsidRDefault="00B937BD" w:rsidP="00B937BD">
            <w:pPr>
              <w:pStyle w:val="NoSpacing"/>
              <w:jc w:val="center"/>
              <w:rPr>
                <w:b/>
                <w:bCs/>
              </w:rPr>
            </w:pPr>
            <w:r w:rsidRPr="00B937BD">
              <w:rPr>
                <w:b/>
                <w:bCs/>
              </w:rPr>
              <w:t xml:space="preserve">Table 8 </w:t>
            </w:r>
            <w:bookmarkStart w:id="5" w:name="_Hlk81937785"/>
            <w:r w:rsidRPr="00B937BD">
              <w:rPr>
                <w:b/>
                <w:bCs/>
              </w:rPr>
              <w:t>Pairwise Comparisons</w:t>
            </w:r>
            <w:bookmarkEnd w:id="5"/>
          </w:p>
        </w:tc>
      </w:tr>
      <w:tr w:rsidR="00B937BD" w:rsidRPr="00AA6E3A" w14:paraId="28BFEC4F" w14:textId="77777777" w:rsidTr="005505BC">
        <w:trPr>
          <w:cantSplit/>
          <w:jc w:val="center"/>
        </w:trPr>
        <w:tc>
          <w:tcPr>
            <w:tcW w:w="8760" w:type="dxa"/>
            <w:gridSpan w:val="7"/>
            <w:shd w:val="clear" w:color="auto" w:fill="FFFFFF" w:themeFill="background1"/>
            <w:vAlign w:val="bottom"/>
          </w:tcPr>
          <w:p w14:paraId="7E62A0CE" w14:textId="77777777" w:rsidR="00B937BD" w:rsidRPr="00AA6E3A" w:rsidRDefault="00B937BD" w:rsidP="00B937BD">
            <w:pPr>
              <w:pStyle w:val="NoSpacing"/>
            </w:pPr>
            <w:r w:rsidRPr="00AA6E3A">
              <w:rPr>
                <w:shd w:val="clear" w:color="auto" w:fill="FFFFFF"/>
              </w:rPr>
              <w:t xml:space="preserve">Dependent Variable:   posttest  </w:t>
            </w:r>
          </w:p>
        </w:tc>
      </w:tr>
      <w:tr w:rsidR="00B937BD" w:rsidRPr="00AA6E3A" w14:paraId="3E2A109B" w14:textId="77777777" w:rsidTr="005505BC">
        <w:trPr>
          <w:cantSplit/>
          <w:jc w:val="center"/>
        </w:trPr>
        <w:tc>
          <w:tcPr>
            <w:tcW w:w="1131" w:type="dxa"/>
            <w:vMerge w:val="restart"/>
            <w:shd w:val="clear" w:color="auto" w:fill="FFFFFF" w:themeFill="background1"/>
            <w:vAlign w:val="bottom"/>
          </w:tcPr>
          <w:p w14:paraId="65D954B6" w14:textId="77777777" w:rsidR="00B937BD" w:rsidRPr="00AA6E3A" w:rsidRDefault="00B937BD" w:rsidP="00B937BD">
            <w:pPr>
              <w:pStyle w:val="NoSpacing"/>
            </w:pPr>
            <w:r w:rsidRPr="00AA6E3A">
              <w:t>(I) group</w:t>
            </w:r>
          </w:p>
        </w:tc>
        <w:tc>
          <w:tcPr>
            <w:tcW w:w="1131" w:type="dxa"/>
            <w:vMerge w:val="restart"/>
            <w:shd w:val="clear" w:color="auto" w:fill="FFFFFF" w:themeFill="background1"/>
            <w:vAlign w:val="bottom"/>
          </w:tcPr>
          <w:p w14:paraId="5D93A4EE" w14:textId="77777777" w:rsidR="00B937BD" w:rsidRPr="00AA6E3A" w:rsidRDefault="00B937BD" w:rsidP="00B937BD">
            <w:pPr>
              <w:pStyle w:val="NoSpacing"/>
            </w:pPr>
            <w:r w:rsidRPr="00AA6E3A">
              <w:t>(J) group</w:t>
            </w:r>
          </w:p>
        </w:tc>
        <w:tc>
          <w:tcPr>
            <w:tcW w:w="1468" w:type="dxa"/>
            <w:vMerge w:val="restart"/>
            <w:shd w:val="clear" w:color="auto" w:fill="FFFFFF" w:themeFill="background1"/>
            <w:vAlign w:val="bottom"/>
          </w:tcPr>
          <w:p w14:paraId="042B1E00" w14:textId="77777777" w:rsidR="00B937BD" w:rsidRPr="00AA6E3A" w:rsidRDefault="00B937BD" w:rsidP="00B937BD">
            <w:pPr>
              <w:pStyle w:val="NoSpacing"/>
            </w:pPr>
            <w:r w:rsidRPr="00AA6E3A">
              <w:t>Mean Difference (I-J)</w:t>
            </w:r>
          </w:p>
        </w:tc>
        <w:tc>
          <w:tcPr>
            <w:tcW w:w="1070" w:type="dxa"/>
            <w:vMerge w:val="restart"/>
            <w:shd w:val="clear" w:color="auto" w:fill="FFFFFF" w:themeFill="background1"/>
            <w:vAlign w:val="bottom"/>
          </w:tcPr>
          <w:p w14:paraId="052A89D2" w14:textId="77777777" w:rsidR="00B937BD" w:rsidRPr="00AA6E3A" w:rsidRDefault="00B937BD" w:rsidP="00B937BD">
            <w:pPr>
              <w:pStyle w:val="NoSpacing"/>
            </w:pPr>
            <w:r w:rsidRPr="00AA6E3A">
              <w:t>Std. Error</w:t>
            </w:r>
          </w:p>
        </w:tc>
        <w:tc>
          <w:tcPr>
            <w:tcW w:w="1024" w:type="dxa"/>
            <w:vMerge w:val="restart"/>
            <w:shd w:val="clear" w:color="auto" w:fill="FFFFFF" w:themeFill="background1"/>
            <w:vAlign w:val="bottom"/>
          </w:tcPr>
          <w:p w14:paraId="4BF5EA05" w14:textId="77777777" w:rsidR="00B937BD" w:rsidRPr="00AA6E3A" w:rsidRDefault="00B937BD" w:rsidP="00B937BD">
            <w:pPr>
              <w:pStyle w:val="NoSpacing"/>
            </w:pPr>
            <w:proofErr w:type="spellStart"/>
            <w:r w:rsidRPr="00AA6E3A">
              <w:t>Sig.</w:t>
            </w:r>
            <w:r w:rsidRPr="00AA6E3A">
              <w:rPr>
                <w:vertAlign w:val="superscript"/>
              </w:rPr>
              <w:t>a</w:t>
            </w:r>
            <w:proofErr w:type="spellEnd"/>
          </w:p>
        </w:tc>
        <w:tc>
          <w:tcPr>
            <w:tcW w:w="2936" w:type="dxa"/>
            <w:gridSpan w:val="2"/>
            <w:shd w:val="clear" w:color="auto" w:fill="FFFFFF" w:themeFill="background1"/>
            <w:vAlign w:val="bottom"/>
          </w:tcPr>
          <w:p w14:paraId="341FAC84" w14:textId="77777777" w:rsidR="00B937BD" w:rsidRPr="00AA6E3A" w:rsidRDefault="00B937BD" w:rsidP="00B937BD">
            <w:pPr>
              <w:pStyle w:val="NoSpacing"/>
            </w:pPr>
            <w:r w:rsidRPr="00AA6E3A">
              <w:t xml:space="preserve">95% Confidence Interval for </w:t>
            </w:r>
            <w:proofErr w:type="spellStart"/>
            <w:r w:rsidRPr="00AA6E3A">
              <w:t>Difference</w:t>
            </w:r>
            <w:r w:rsidRPr="00AA6E3A">
              <w:rPr>
                <w:vertAlign w:val="superscript"/>
              </w:rPr>
              <w:t>a</w:t>
            </w:r>
            <w:proofErr w:type="spellEnd"/>
          </w:p>
        </w:tc>
      </w:tr>
      <w:tr w:rsidR="00B937BD" w:rsidRPr="00AA6E3A" w14:paraId="770C7978" w14:textId="77777777" w:rsidTr="005505BC">
        <w:trPr>
          <w:cantSplit/>
          <w:jc w:val="center"/>
        </w:trPr>
        <w:tc>
          <w:tcPr>
            <w:tcW w:w="1131" w:type="dxa"/>
            <w:vMerge/>
            <w:shd w:val="clear" w:color="auto" w:fill="FFFFFF" w:themeFill="background1"/>
            <w:vAlign w:val="bottom"/>
          </w:tcPr>
          <w:p w14:paraId="6ECBDD2D" w14:textId="77777777" w:rsidR="00B937BD" w:rsidRPr="00AA6E3A" w:rsidRDefault="00B937BD" w:rsidP="00B937BD">
            <w:pPr>
              <w:pStyle w:val="NoSpacing"/>
            </w:pPr>
          </w:p>
        </w:tc>
        <w:tc>
          <w:tcPr>
            <w:tcW w:w="1131" w:type="dxa"/>
            <w:vMerge/>
            <w:shd w:val="clear" w:color="auto" w:fill="FFFFFF" w:themeFill="background1"/>
            <w:vAlign w:val="bottom"/>
          </w:tcPr>
          <w:p w14:paraId="1DF10382" w14:textId="77777777" w:rsidR="00B937BD" w:rsidRPr="00AA6E3A" w:rsidRDefault="00B937BD" w:rsidP="00B937BD">
            <w:pPr>
              <w:pStyle w:val="NoSpacing"/>
            </w:pPr>
          </w:p>
        </w:tc>
        <w:tc>
          <w:tcPr>
            <w:tcW w:w="1468" w:type="dxa"/>
            <w:vMerge/>
            <w:shd w:val="clear" w:color="auto" w:fill="FFFFFF" w:themeFill="background1"/>
            <w:vAlign w:val="bottom"/>
          </w:tcPr>
          <w:p w14:paraId="422044F4" w14:textId="77777777" w:rsidR="00B937BD" w:rsidRPr="00AA6E3A" w:rsidRDefault="00B937BD" w:rsidP="00B937BD">
            <w:pPr>
              <w:pStyle w:val="NoSpacing"/>
            </w:pPr>
          </w:p>
        </w:tc>
        <w:tc>
          <w:tcPr>
            <w:tcW w:w="1070" w:type="dxa"/>
            <w:vMerge/>
            <w:shd w:val="clear" w:color="auto" w:fill="FFFFFF" w:themeFill="background1"/>
            <w:vAlign w:val="bottom"/>
          </w:tcPr>
          <w:p w14:paraId="6B021D5A" w14:textId="77777777" w:rsidR="00B937BD" w:rsidRPr="00AA6E3A" w:rsidRDefault="00B937BD" w:rsidP="00B937BD">
            <w:pPr>
              <w:pStyle w:val="NoSpacing"/>
            </w:pPr>
          </w:p>
        </w:tc>
        <w:tc>
          <w:tcPr>
            <w:tcW w:w="1024" w:type="dxa"/>
            <w:vMerge/>
            <w:shd w:val="clear" w:color="auto" w:fill="FFFFFF" w:themeFill="background1"/>
            <w:vAlign w:val="bottom"/>
          </w:tcPr>
          <w:p w14:paraId="4B2D084C" w14:textId="77777777" w:rsidR="00B937BD" w:rsidRPr="00AA6E3A" w:rsidRDefault="00B937BD" w:rsidP="00B937BD">
            <w:pPr>
              <w:pStyle w:val="NoSpacing"/>
            </w:pPr>
          </w:p>
        </w:tc>
        <w:tc>
          <w:tcPr>
            <w:tcW w:w="1468" w:type="dxa"/>
            <w:shd w:val="clear" w:color="auto" w:fill="FFFFFF" w:themeFill="background1"/>
            <w:vAlign w:val="bottom"/>
          </w:tcPr>
          <w:p w14:paraId="19A4162A" w14:textId="77777777" w:rsidR="00B937BD" w:rsidRPr="00AA6E3A" w:rsidRDefault="00B937BD" w:rsidP="00B937BD">
            <w:pPr>
              <w:pStyle w:val="NoSpacing"/>
            </w:pPr>
            <w:r w:rsidRPr="00AA6E3A">
              <w:t>Lower Bound</w:t>
            </w:r>
          </w:p>
        </w:tc>
        <w:tc>
          <w:tcPr>
            <w:tcW w:w="1468" w:type="dxa"/>
            <w:shd w:val="clear" w:color="auto" w:fill="FFFFFF" w:themeFill="background1"/>
            <w:vAlign w:val="bottom"/>
          </w:tcPr>
          <w:p w14:paraId="46F318D5" w14:textId="77777777" w:rsidR="00B937BD" w:rsidRPr="00AA6E3A" w:rsidRDefault="00B937BD" w:rsidP="00B937BD">
            <w:pPr>
              <w:pStyle w:val="NoSpacing"/>
            </w:pPr>
            <w:r w:rsidRPr="00AA6E3A">
              <w:t>Upper Bound</w:t>
            </w:r>
          </w:p>
        </w:tc>
      </w:tr>
      <w:tr w:rsidR="00B937BD" w:rsidRPr="00AA6E3A" w14:paraId="5969D0BE" w14:textId="77777777" w:rsidTr="005505BC">
        <w:trPr>
          <w:cantSplit/>
          <w:jc w:val="center"/>
        </w:trPr>
        <w:tc>
          <w:tcPr>
            <w:tcW w:w="1131" w:type="dxa"/>
            <w:shd w:val="clear" w:color="auto" w:fill="FFFFFF" w:themeFill="background1"/>
          </w:tcPr>
          <w:p w14:paraId="349CE57C" w14:textId="77777777" w:rsidR="00B937BD" w:rsidRPr="00AA6E3A" w:rsidRDefault="00B937BD" w:rsidP="00B937BD">
            <w:pPr>
              <w:pStyle w:val="NoSpacing"/>
            </w:pPr>
            <w:r w:rsidRPr="00AA6E3A">
              <w:t>play</w:t>
            </w:r>
          </w:p>
        </w:tc>
        <w:tc>
          <w:tcPr>
            <w:tcW w:w="1131" w:type="dxa"/>
            <w:shd w:val="clear" w:color="auto" w:fill="FFFFFF" w:themeFill="background1"/>
          </w:tcPr>
          <w:p w14:paraId="021C8750" w14:textId="77777777" w:rsidR="00B937BD" w:rsidRPr="00AA6E3A" w:rsidRDefault="00B937BD" w:rsidP="00B937BD">
            <w:pPr>
              <w:pStyle w:val="NoSpacing"/>
            </w:pPr>
            <w:r w:rsidRPr="00AA6E3A">
              <w:t>animation</w:t>
            </w:r>
          </w:p>
        </w:tc>
        <w:tc>
          <w:tcPr>
            <w:tcW w:w="1468" w:type="dxa"/>
            <w:shd w:val="clear" w:color="auto" w:fill="FFFFFF" w:themeFill="background1"/>
          </w:tcPr>
          <w:p w14:paraId="1B7FC38F" w14:textId="77777777" w:rsidR="00B937BD" w:rsidRPr="00AA6E3A" w:rsidRDefault="00B937BD" w:rsidP="00B937BD">
            <w:pPr>
              <w:pStyle w:val="NoSpacing"/>
            </w:pPr>
            <w:r w:rsidRPr="00AA6E3A">
              <w:t>2.810</w:t>
            </w:r>
          </w:p>
        </w:tc>
        <w:tc>
          <w:tcPr>
            <w:tcW w:w="1070" w:type="dxa"/>
            <w:shd w:val="clear" w:color="auto" w:fill="FFFFFF" w:themeFill="background1"/>
          </w:tcPr>
          <w:p w14:paraId="0F7E00F9" w14:textId="77777777" w:rsidR="00B937BD" w:rsidRPr="00AA6E3A" w:rsidRDefault="00B937BD" w:rsidP="00B937BD">
            <w:pPr>
              <w:pStyle w:val="NoSpacing"/>
            </w:pPr>
            <w:r w:rsidRPr="00AA6E3A">
              <w:t>1.501</w:t>
            </w:r>
          </w:p>
        </w:tc>
        <w:tc>
          <w:tcPr>
            <w:tcW w:w="1024" w:type="dxa"/>
            <w:shd w:val="clear" w:color="auto" w:fill="FFFFFF" w:themeFill="background1"/>
          </w:tcPr>
          <w:p w14:paraId="6FF80787" w14:textId="77777777" w:rsidR="00B937BD" w:rsidRPr="00AA6E3A" w:rsidRDefault="00B937BD" w:rsidP="00B937BD">
            <w:pPr>
              <w:pStyle w:val="NoSpacing"/>
            </w:pPr>
            <w:r w:rsidRPr="00AA6E3A">
              <w:t>.064</w:t>
            </w:r>
          </w:p>
        </w:tc>
        <w:tc>
          <w:tcPr>
            <w:tcW w:w="1468" w:type="dxa"/>
            <w:shd w:val="clear" w:color="auto" w:fill="FFFFFF" w:themeFill="background1"/>
          </w:tcPr>
          <w:p w14:paraId="1945B34B" w14:textId="77777777" w:rsidR="00B937BD" w:rsidRPr="00AA6E3A" w:rsidRDefault="00B937BD" w:rsidP="00B937BD">
            <w:pPr>
              <w:pStyle w:val="NoSpacing"/>
            </w:pPr>
            <w:r w:rsidRPr="00AA6E3A">
              <w:t>-.169</w:t>
            </w:r>
          </w:p>
        </w:tc>
        <w:tc>
          <w:tcPr>
            <w:tcW w:w="1468" w:type="dxa"/>
            <w:shd w:val="clear" w:color="auto" w:fill="FFFFFF" w:themeFill="background1"/>
          </w:tcPr>
          <w:p w14:paraId="21FBF16E" w14:textId="77777777" w:rsidR="00B937BD" w:rsidRPr="00AA6E3A" w:rsidRDefault="00B937BD" w:rsidP="00B937BD">
            <w:pPr>
              <w:pStyle w:val="NoSpacing"/>
            </w:pPr>
            <w:r w:rsidRPr="00AA6E3A">
              <w:t>5.790</w:t>
            </w:r>
          </w:p>
        </w:tc>
      </w:tr>
      <w:tr w:rsidR="00B937BD" w:rsidRPr="00AA6E3A" w14:paraId="2C1953D6" w14:textId="77777777" w:rsidTr="005505BC">
        <w:trPr>
          <w:cantSplit/>
          <w:jc w:val="center"/>
        </w:trPr>
        <w:tc>
          <w:tcPr>
            <w:tcW w:w="1131" w:type="dxa"/>
            <w:shd w:val="clear" w:color="auto" w:fill="FFFFFF" w:themeFill="background1"/>
          </w:tcPr>
          <w:p w14:paraId="4B79E350" w14:textId="77777777" w:rsidR="00B937BD" w:rsidRPr="00AA6E3A" w:rsidRDefault="00B937BD" w:rsidP="00B937BD">
            <w:pPr>
              <w:pStyle w:val="NoSpacing"/>
            </w:pPr>
            <w:r w:rsidRPr="00AA6E3A">
              <w:t>animation</w:t>
            </w:r>
          </w:p>
        </w:tc>
        <w:tc>
          <w:tcPr>
            <w:tcW w:w="1131" w:type="dxa"/>
            <w:shd w:val="clear" w:color="auto" w:fill="FFFFFF" w:themeFill="background1"/>
          </w:tcPr>
          <w:p w14:paraId="1E12492F" w14:textId="77777777" w:rsidR="00B937BD" w:rsidRPr="00AA6E3A" w:rsidRDefault="00B937BD" w:rsidP="00B937BD">
            <w:pPr>
              <w:pStyle w:val="NoSpacing"/>
            </w:pPr>
            <w:r w:rsidRPr="00AA6E3A">
              <w:t>play</w:t>
            </w:r>
          </w:p>
        </w:tc>
        <w:tc>
          <w:tcPr>
            <w:tcW w:w="1468" w:type="dxa"/>
            <w:shd w:val="clear" w:color="auto" w:fill="FFFFFF" w:themeFill="background1"/>
          </w:tcPr>
          <w:p w14:paraId="3E8E50BD" w14:textId="77777777" w:rsidR="00B937BD" w:rsidRPr="00AA6E3A" w:rsidRDefault="00B937BD" w:rsidP="00B937BD">
            <w:pPr>
              <w:pStyle w:val="NoSpacing"/>
            </w:pPr>
            <w:r w:rsidRPr="00AA6E3A">
              <w:t>-2.810</w:t>
            </w:r>
          </w:p>
        </w:tc>
        <w:tc>
          <w:tcPr>
            <w:tcW w:w="1070" w:type="dxa"/>
            <w:shd w:val="clear" w:color="auto" w:fill="FFFFFF" w:themeFill="background1"/>
          </w:tcPr>
          <w:p w14:paraId="74BC3321" w14:textId="77777777" w:rsidR="00B937BD" w:rsidRPr="00AA6E3A" w:rsidRDefault="00B937BD" w:rsidP="00B937BD">
            <w:pPr>
              <w:pStyle w:val="NoSpacing"/>
            </w:pPr>
            <w:r w:rsidRPr="00AA6E3A">
              <w:t>1.501</w:t>
            </w:r>
          </w:p>
        </w:tc>
        <w:tc>
          <w:tcPr>
            <w:tcW w:w="1024" w:type="dxa"/>
            <w:shd w:val="clear" w:color="auto" w:fill="FFFFFF" w:themeFill="background1"/>
          </w:tcPr>
          <w:p w14:paraId="73027C56" w14:textId="77777777" w:rsidR="00B937BD" w:rsidRPr="00AA6E3A" w:rsidRDefault="00B937BD" w:rsidP="00B937BD">
            <w:pPr>
              <w:pStyle w:val="NoSpacing"/>
            </w:pPr>
            <w:r w:rsidRPr="00AA6E3A">
              <w:t>.064</w:t>
            </w:r>
          </w:p>
        </w:tc>
        <w:tc>
          <w:tcPr>
            <w:tcW w:w="1468" w:type="dxa"/>
            <w:shd w:val="clear" w:color="auto" w:fill="FFFFFF" w:themeFill="background1"/>
          </w:tcPr>
          <w:p w14:paraId="4168D91E" w14:textId="77777777" w:rsidR="00B937BD" w:rsidRPr="00AA6E3A" w:rsidRDefault="00B937BD" w:rsidP="00B937BD">
            <w:pPr>
              <w:pStyle w:val="NoSpacing"/>
            </w:pPr>
            <w:r w:rsidRPr="00AA6E3A">
              <w:t>-5.790</w:t>
            </w:r>
          </w:p>
        </w:tc>
        <w:tc>
          <w:tcPr>
            <w:tcW w:w="1468" w:type="dxa"/>
            <w:shd w:val="clear" w:color="auto" w:fill="FFFFFF" w:themeFill="background1"/>
          </w:tcPr>
          <w:p w14:paraId="6E5E20B3" w14:textId="77777777" w:rsidR="00B937BD" w:rsidRPr="00AA6E3A" w:rsidRDefault="00B937BD" w:rsidP="00B937BD">
            <w:pPr>
              <w:pStyle w:val="NoSpacing"/>
            </w:pPr>
            <w:r w:rsidRPr="00AA6E3A">
              <w:t>.169</w:t>
            </w:r>
          </w:p>
        </w:tc>
      </w:tr>
      <w:tr w:rsidR="00B937BD" w:rsidRPr="00AA6E3A" w14:paraId="62A84502" w14:textId="77777777" w:rsidTr="005505BC">
        <w:trPr>
          <w:cantSplit/>
          <w:jc w:val="center"/>
        </w:trPr>
        <w:tc>
          <w:tcPr>
            <w:tcW w:w="8760" w:type="dxa"/>
            <w:gridSpan w:val="7"/>
            <w:shd w:val="clear" w:color="auto" w:fill="FFFFFF" w:themeFill="background1"/>
          </w:tcPr>
          <w:p w14:paraId="62B2064B" w14:textId="77777777" w:rsidR="00B937BD" w:rsidRPr="00AA6E3A" w:rsidRDefault="00B937BD" w:rsidP="00B937BD">
            <w:pPr>
              <w:pStyle w:val="NoSpacing"/>
            </w:pPr>
            <w:r w:rsidRPr="00AA6E3A">
              <w:t>Based on estimated marginal means</w:t>
            </w:r>
          </w:p>
        </w:tc>
      </w:tr>
      <w:tr w:rsidR="00B937BD" w:rsidRPr="00AA6E3A" w14:paraId="12179F42" w14:textId="77777777" w:rsidTr="005505BC">
        <w:trPr>
          <w:cantSplit/>
          <w:jc w:val="center"/>
        </w:trPr>
        <w:tc>
          <w:tcPr>
            <w:tcW w:w="8760" w:type="dxa"/>
            <w:gridSpan w:val="7"/>
            <w:shd w:val="clear" w:color="auto" w:fill="FFFFFF" w:themeFill="background1"/>
          </w:tcPr>
          <w:p w14:paraId="6C6C4ECA" w14:textId="77777777" w:rsidR="00B937BD" w:rsidRPr="00AA6E3A" w:rsidRDefault="00B937BD" w:rsidP="00B937BD">
            <w:pPr>
              <w:pStyle w:val="NoSpacing"/>
            </w:pPr>
            <w:r w:rsidRPr="00AA6E3A">
              <w:t>a. Adjustment for multiple comparisons: Bonferroni.</w:t>
            </w:r>
          </w:p>
        </w:tc>
      </w:tr>
    </w:tbl>
    <w:p w14:paraId="68A23C1C" w14:textId="77777777" w:rsidR="00996EE0" w:rsidRDefault="00996EE0" w:rsidP="00996EE0">
      <w:pPr>
        <w:spacing w:line="240" w:lineRule="auto"/>
        <w:rPr>
          <w:rFonts w:asciiTheme="majorBidi" w:hAnsiTheme="majorBidi" w:cstheme="majorBidi"/>
          <w:sz w:val="24"/>
          <w:szCs w:val="24"/>
        </w:rPr>
      </w:pPr>
    </w:p>
    <w:p w14:paraId="5E617B40" w14:textId="1D33D5EA"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As readers can readily see in table 8 titled Pairwise Comparison, the mean difference is not statistically significant (I - J = 2.8, p = .06). It might be safe to state that the difference between the two treatments (play and animation) has not been significant regarding reading comprehension. However, since the p value (.064) is only one degree beyond customary p value (.05), the </w:t>
      </w:r>
      <w:r w:rsidR="00A64747" w:rsidRPr="00B47A38">
        <w:rPr>
          <w:rFonts w:asciiTheme="majorBidi" w:hAnsiTheme="majorBidi" w:cstheme="majorBidi"/>
        </w:rPr>
        <w:t>researchers</w:t>
      </w:r>
      <w:r w:rsidRPr="00B47A38">
        <w:rPr>
          <w:rFonts w:asciiTheme="majorBidi" w:hAnsiTheme="majorBidi" w:cstheme="majorBidi"/>
        </w:rPr>
        <w:t xml:space="preserve"> might be allowed to say that there is a trend of marginal improvement in the group treated by play. </w:t>
      </w:r>
    </w:p>
    <w:p w14:paraId="0596FD72" w14:textId="54A99F10" w:rsidR="00B937BD" w:rsidRPr="00B47A38" w:rsidRDefault="00B937BD" w:rsidP="00996EE0">
      <w:pPr>
        <w:spacing w:line="240" w:lineRule="auto"/>
        <w:rPr>
          <w:rFonts w:asciiTheme="majorBidi" w:hAnsiTheme="majorBidi" w:cstheme="majorBidi"/>
        </w:rPr>
      </w:pPr>
      <w:r w:rsidRPr="00B47A38">
        <w:rPr>
          <w:rFonts w:asciiTheme="majorBidi" w:hAnsiTheme="majorBidi" w:cstheme="majorBidi"/>
        </w:rPr>
        <w:t xml:space="preserve">In order to find out where students are showing improvement in data, component analysis was done using multivariate analysis of covariance to see why we had a trend in favor play. Only item 8 was statistically significant. Part 8 of the test is designed to elicit specific information like date and time and names and numbers and places. </w:t>
      </w:r>
    </w:p>
    <w:p w14:paraId="0A47FE9C" w14:textId="77777777" w:rsidR="00996EE0" w:rsidRPr="00996EE0" w:rsidRDefault="00996EE0" w:rsidP="00996EE0">
      <w:pPr>
        <w:spacing w:line="240" w:lineRule="auto"/>
        <w:rPr>
          <w:rFonts w:cstheme="minorHAnsi"/>
        </w:rPr>
      </w:pPr>
    </w:p>
    <w:tbl>
      <w:tblPr>
        <w:tblW w:w="5445" w:type="dxa"/>
        <w:jc w:val="center"/>
        <w:tblBorders>
          <w:insideH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345"/>
        <w:gridCol w:w="1025"/>
        <w:gridCol w:w="1025"/>
        <w:gridCol w:w="1025"/>
        <w:gridCol w:w="1025"/>
      </w:tblGrid>
      <w:tr w:rsidR="00B937BD" w:rsidRPr="00484B4D" w14:paraId="7F56F163" w14:textId="77777777" w:rsidTr="005505BC">
        <w:trPr>
          <w:cantSplit/>
          <w:jc w:val="center"/>
        </w:trPr>
        <w:tc>
          <w:tcPr>
            <w:tcW w:w="5441" w:type="dxa"/>
            <w:gridSpan w:val="5"/>
            <w:shd w:val="clear" w:color="auto" w:fill="FFFFFF" w:themeFill="background1"/>
            <w:vAlign w:val="center"/>
          </w:tcPr>
          <w:p w14:paraId="0C85AD53" w14:textId="5E7F012F" w:rsidR="00B937BD" w:rsidRPr="00B937BD" w:rsidRDefault="00B937BD" w:rsidP="00B937BD">
            <w:pPr>
              <w:pStyle w:val="NoSpacing"/>
              <w:rPr>
                <w:b/>
                <w:bCs/>
              </w:rPr>
            </w:pPr>
            <w:bookmarkStart w:id="6" w:name="_Hlk81649223"/>
            <w:r w:rsidRPr="00B937BD">
              <w:rPr>
                <w:b/>
                <w:bCs/>
              </w:rPr>
              <w:t xml:space="preserve">Table 9 </w:t>
            </w:r>
            <w:bookmarkStart w:id="7" w:name="_Hlk81937815"/>
            <w:proofErr w:type="spellStart"/>
            <w:r w:rsidRPr="00B937BD">
              <w:rPr>
                <w:b/>
                <w:bCs/>
              </w:rPr>
              <w:t>Levene's</w:t>
            </w:r>
            <w:proofErr w:type="spellEnd"/>
            <w:r w:rsidRPr="00B937BD">
              <w:rPr>
                <w:b/>
                <w:bCs/>
              </w:rPr>
              <w:t xml:space="preserve"> Test of Equality of Error </w:t>
            </w:r>
            <w:proofErr w:type="spellStart"/>
            <w:r w:rsidRPr="00B937BD">
              <w:rPr>
                <w:b/>
                <w:bCs/>
              </w:rPr>
              <w:t>Variances</w:t>
            </w:r>
            <w:r w:rsidRPr="00B937BD">
              <w:rPr>
                <w:b/>
                <w:bCs/>
                <w:vertAlign w:val="superscript"/>
              </w:rPr>
              <w:t>a</w:t>
            </w:r>
            <w:bookmarkEnd w:id="7"/>
            <w:proofErr w:type="spellEnd"/>
          </w:p>
        </w:tc>
      </w:tr>
      <w:tr w:rsidR="00B937BD" w:rsidRPr="00484B4D" w14:paraId="3610ECCD" w14:textId="77777777" w:rsidTr="005505BC">
        <w:trPr>
          <w:cantSplit/>
          <w:jc w:val="center"/>
        </w:trPr>
        <w:tc>
          <w:tcPr>
            <w:tcW w:w="1345" w:type="dxa"/>
            <w:shd w:val="clear" w:color="auto" w:fill="FFFFFF" w:themeFill="background1"/>
            <w:vAlign w:val="bottom"/>
          </w:tcPr>
          <w:p w14:paraId="4577518F" w14:textId="77777777" w:rsidR="00B937BD" w:rsidRPr="00484B4D" w:rsidRDefault="00B937BD" w:rsidP="00B937BD">
            <w:pPr>
              <w:pStyle w:val="NoSpacing"/>
            </w:pPr>
          </w:p>
        </w:tc>
        <w:tc>
          <w:tcPr>
            <w:tcW w:w="1024" w:type="dxa"/>
            <w:shd w:val="clear" w:color="auto" w:fill="FFFFFF" w:themeFill="background1"/>
            <w:vAlign w:val="bottom"/>
          </w:tcPr>
          <w:p w14:paraId="0D80B8B0" w14:textId="77777777" w:rsidR="00B937BD" w:rsidRPr="00484B4D" w:rsidRDefault="00B937BD" w:rsidP="00B937BD">
            <w:pPr>
              <w:pStyle w:val="NoSpacing"/>
            </w:pPr>
            <w:r w:rsidRPr="00484B4D">
              <w:t>F</w:t>
            </w:r>
          </w:p>
        </w:tc>
        <w:tc>
          <w:tcPr>
            <w:tcW w:w="1024" w:type="dxa"/>
            <w:shd w:val="clear" w:color="auto" w:fill="FFFFFF" w:themeFill="background1"/>
            <w:vAlign w:val="bottom"/>
          </w:tcPr>
          <w:p w14:paraId="1E39F455" w14:textId="77777777" w:rsidR="00B937BD" w:rsidRPr="00484B4D" w:rsidRDefault="00B937BD" w:rsidP="00B937BD">
            <w:pPr>
              <w:pStyle w:val="NoSpacing"/>
            </w:pPr>
            <w:r w:rsidRPr="00484B4D">
              <w:t>df1</w:t>
            </w:r>
          </w:p>
        </w:tc>
        <w:tc>
          <w:tcPr>
            <w:tcW w:w="1024" w:type="dxa"/>
            <w:shd w:val="clear" w:color="auto" w:fill="FFFFFF" w:themeFill="background1"/>
            <w:vAlign w:val="bottom"/>
          </w:tcPr>
          <w:p w14:paraId="305F23CB" w14:textId="77777777" w:rsidR="00B937BD" w:rsidRPr="00484B4D" w:rsidRDefault="00B937BD" w:rsidP="00B937BD">
            <w:pPr>
              <w:pStyle w:val="NoSpacing"/>
            </w:pPr>
            <w:r w:rsidRPr="00484B4D">
              <w:t>df2</w:t>
            </w:r>
          </w:p>
        </w:tc>
        <w:tc>
          <w:tcPr>
            <w:tcW w:w="1024" w:type="dxa"/>
            <w:shd w:val="clear" w:color="auto" w:fill="FFFFFF" w:themeFill="background1"/>
            <w:vAlign w:val="bottom"/>
          </w:tcPr>
          <w:p w14:paraId="4CECDE17" w14:textId="77777777" w:rsidR="00B937BD" w:rsidRPr="00484B4D" w:rsidRDefault="00B937BD" w:rsidP="00B937BD">
            <w:pPr>
              <w:pStyle w:val="NoSpacing"/>
            </w:pPr>
            <w:r w:rsidRPr="00484B4D">
              <w:t>Sig.</w:t>
            </w:r>
          </w:p>
        </w:tc>
      </w:tr>
      <w:tr w:rsidR="00B937BD" w:rsidRPr="00484B4D" w14:paraId="46674402" w14:textId="77777777" w:rsidTr="005505BC">
        <w:trPr>
          <w:cantSplit/>
          <w:jc w:val="center"/>
        </w:trPr>
        <w:tc>
          <w:tcPr>
            <w:tcW w:w="1345" w:type="dxa"/>
            <w:shd w:val="clear" w:color="auto" w:fill="FFFFFF" w:themeFill="background1"/>
          </w:tcPr>
          <w:p w14:paraId="42594326" w14:textId="77777777" w:rsidR="00B937BD" w:rsidRPr="00484B4D" w:rsidRDefault="00B937BD" w:rsidP="00B937BD">
            <w:pPr>
              <w:pStyle w:val="NoSpacing"/>
            </w:pPr>
            <w:r w:rsidRPr="00484B4D">
              <w:t>SumP1T2</w:t>
            </w:r>
          </w:p>
        </w:tc>
        <w:tc>
          <w:tcPr>
            <w:tcW w:w="1024" w:type="dxa"/>
            <w:shd w:val="clear" w:color="auto" w:fill="FFFFFF" w:themeFill="background1"/>
          </w:tcPr>
          <w:p w14:paraId="7571D800" w14:textId="77777777" w:rsidR="00B937BD" w:rsidRPr="00484B4D" w:rsidRDefault="00B937BD" w:rsidP="00B937BD">
            <w:pPr>
              <w:pStyle w:val="NoSpacing"/>
            </w:pPr>
            <w:r w:rsidRPr="00484B4D">
              <w:t>.212</w:t>
            </w:r>
          </w:p>
        </w:tc>
        <w:tc>
          <w:tcPr>
            <w:tcW w:w="1024" w:type="dxa"/>
            <w:shd w:val="clear" w:color="auto" w:fill="FFFFFF" w:themeFill="background1"/>
          </w:tcPr>
          <w:p w14:paraId="2B7877FB" w14:textId="77777777" w:rsidR="00B937BD" w:rsidRPr="00484B4D" w:rsidRDefault="00B937BD" w:rsidP="00B937BD">
            <w:pPr>
              <w:pStyle w:val="NoSpacing"/>
            </w:pPr>
            <w:r w:rsidRPr="00484B4D">
              <w:t>1</w:t>
            </w:r>
          </w:p>
        </w:tc>
        <w:tc>
          <w:tcPr>
            <w:tcW w:w="1024" w:type="dxa"/>
            <w:shd w:val="clear" w:color="auto" w:fill="FFFFFF" w:themeFill="background1"/>
          </w:tcPr>
          <w:p w14:paraId="479F94F3" w14:textId="77777777" w:rsidR="00B937BD" w:rsidRPr="00484B4D" w:rsidRDefault="00B937BD" w:rsidP="00B937BD">
            <w:pPr>
              <w:pStyle w:val="NoSpacing"/>
            </w:pPr>
            <w:r w:rsidRPr="00484B4D">
              <w:t>99</w:t>
            </w:r>
          </w:p>
        </w:tc>
        <w:tc>
          <w:tcPr>
            <w:tcW w:w="1024" w:type="dxa"/>
            <w:shd w:val="clear" w:color="auto" w:fill="FFFFFF" w:themeFill="background1"/>
          </w:tcPr>
          <w:p w14:paraId="50221408" w14:textId="77777777" w:rsidR="00B937BD" w:rsidRPr="00484B4D" w:rsidRDefault="00B937BD" w:rsidP="00B937BD">
            <w:pPr>
              <w:pStyle w:val="NoSpacing"/>
            </w:pPr>
            <w:r w:rsidRPr="00484B4D">
              <w:t>.646</w:t>
            </w:r>
          </w:p>
        </w:tc>
      </w:tr>
      <w:tr w:rsidR="00B937BD" w:rsidRPr="00484B4D" w14:paraId="27697D13" w14:textId="77777777" w:rsidTr="005505BC">
        <w:trPr>
          <w:cantSplit/>
          <w:jc w:val="center"/>
        </w:trPr>
        <w:tc>
          <w:tcPr>
            <w:tcW w:w="1345" w:type="dxa"/>
            <w:shd w:val="clear" w:color="auto" w:fill="FFFFFF" w:themeFill="background1"/>
          </w:tcPr>
          <w:p w14:paraId="02A8D70C" w14:textId="77777777" w:rsidR="00B937BD" w:rsidRPr="00484B4D" w:rsidRDefault="00B937BD" w:rsidP="00B937BD">
            <w:pPr>
              <w:pStyle w:val="NoSpacing"/>
            </w:pPr>
            <w:r w:rsidRPr="00484B4D">
              <w:t>SumP2T2</w:t>
            </w:r>
          </w:p>
        </w:tc>
        <w:tc>
          <w:tcPr>
            <w:tcW w:w="1024" w:type="dxa"/>
            <w:shd w:val="clear" w:color="auto" w:fill="FFFFFF" w:themeFill="background1"/>
          </w:tcPr>
          <w:p w14:paraId="224EA46E" w14:textId="77777777" w:rsidR="00B937BD" w:rsidRPr="00484B4D" w:rsidRDefault="00B937BD" w:rsidP="00B937BD">
            <w:pPr>
              <w:pStyle w:val="NoSpacing"/>
            </w:pPr>
            <w:r w:rsidRPr="00484B4D">
              <w:t>3.390</w:t>
            </w:r>
          </w:p>
        </w:tc>
        <w:tc>
          <w:tcPr>
            <w:tcW w:w="1024" w:type="dxa"/>
            <w:shd w:val="clear" w:color="auto" w:fill="FFFFFF" w:themeFill="background1"/>
          </w:tcPr>
          <w:p w14:paraId="3E06C4DD" w14:textId="77777777" w:rsidR="00B937BD" w:rsidRPr="00484B4D" w:rsidRDefault="00B937BD" w:rsidP="00B937BD">
            <w:pPr>
              <w:pStyle w:val="NoSpacing"/>
            </w:pPr>
            <w:r w:rsidRPr="00484B4D">
              <w:t>1</w:t>
            </w:r>
          </w:p>
        </w:tc>
        <w:tc>
          <w:tcPr>
            <w:tcW w:w="1024" w:type="dxa"/>
            <w:shd w:val="clear" w:color="auto" w:fill="FFFFFF" w:themeFill="background1"/>
          </w:tcPr>
          <w:p w14:paraId="24BB25E8" w14:textId="77777777" w:rsidR="00B937BD" w:rsidRPr="00484B4D" w:rsidRDefault="00B937BD" w:rsidP="00B937BD">
            <w:pPr>
              <w:pStyle w:val="NoSpacing"/>
            </w:pPr>
            <w:r w:rsidRPr="00484B4D">
              <w:t>99</w:t>
            </w:r>
          </w:p>
        </w:tc>
        <w:tc>
          <w:tcPr>
            <w:tcW w:w="1024" w:type="dxa"/>
            <w:shd w:val="clear" w:color="auto" w:fill="FFFFFF" w:themeFill="background1"/>
          </w:tcPr>
          <w:p w14:paraId="3AAA0408" w14:textId="77777777" w:rsidR="00B937BD" w:rsidRPr="00484B4D" w:rsidRDefault="00B937BD" w:rsidP="00B937BD">
            <w:pPr>
              <w:pStyle w:val="NoSpacing"/>
            </w:pPr>
            <w:r w:rsidRPr="00484B4D">
              <w:t>.069</w:t>
            </w:r>
          </w:p>
        </w:tc>
      </w:tr>
      <w:tr w:rsidR="00B937BD" w:rsidRPr="00484B4D" w14:paraId="4603C312" w14:textId="77777777" w:rsidTr="005505BC">
        <w:trPr>
          <w:cantSplit/>
          <w:jc w:val="center"/>
        </w:trPr>
        <w:tc>
          <w:tcPr>
            <w:tcW w:w="1345" w:type="dxa"/>
            <w:shd w:val="clear" w:color="auto" w:fill="FFFFFF" w:themeFill="background1"/>
          </w:tcPr>
          <w:p w14:paraId="14F01766" w14:textId="77777777" w:rsidR="00B937BD" w:rsidRPr="00484B4D" w:rsidRDefault="00B937BD" w:rsidP="00B937BD">
            <w:pPr>
              <w:pStyle w:val="NoSpacing"/>
            </w:pPr>
            <w:r w:rsidRPr="00484B4D">
              <w:t>SumP3T2s1</w:t>
            </w:r>
          </w:p>
        </w:tc>
        <w:tc>
          <w:tcPr>
            <w:tcW w:w="1024" w:type="dxa"/>
            <w:shd w:val="clear" w:color="auto" w:fill="FFFFFF" w:themeFill="background1"/>
          </w:tcPr>
          <w:p w14:paraId="59BE6132" w14:textId="77777777" w:rsidR="00B937BD" w:rsidRPr="00484B4D" w:rsidRDefault="00B937BD" w:rsidP="00B937BD">
            <w:pPr>
              <w:pStyle w:val="NoSpacing"/>
            </w:pPr>
            <w:r w:rsidRPr="00484B4D">
              <w:t>.003</w:t>
            </w:r>
          </w:p>
        </w:tc>
        <w:tc>
          <w:tcPr>
            <w:tcW w:w="1024" w:type="dxa"/>
            <w:shd w:val="clear" w:color="auto" w:fill="FFFFFF" w:themeFill="background1"/>
          </w:tcPr>
          <w:p w14:paraId="77A39D64" w14:textId="77777777" w:rsidR="00B937BD" w:rsidRPr="00484B4D" w:rsidRDefault="00B937BD" w:rsidP="00B937BD">
            <w:pPr>
              <w:pStyle w:val="NoSpacing"/>
            </w:pPr>
            <w:r w:rsidRPr="00484B4D">
              <w:t>1</w:t>
            </w:r>
          </w:p>
        </w:tc>
        <w:tc>
          <w:tcPr>
            <w:tcW w:w="1024" w:type="dxa"/>
            <w:shd w:val="clear" w:color="auto" w:fill="FFFFFF" w:themeFill="background1"/>
          </w:tcPr>
          <w:p w14:paraId="5ADA0A8D" w14:textId="77777777" w:rsidR="00B937BD" w:rsidRPr="00484B4D" w:rsidRDefault="00B937BD" w:rsidP="00B937BD">
            <w:pPr>
              <w:pStyle w:val="NoSpacing"/>
            </w:pPr>
            <w:r w:rsidRPr="00484B4D">
              <w:t>99</w:t>
            </w:r>
          </w:p>
        </w:tc>
        <w:tc>
          <w:tcPr>
            <w:tcW w:w="1024" w:type="dxa"/>
            <w:shd w:val="clear" w:color="auto" w:fill="FFFFFF" w:themeFill="background1"/>
          </w:tcPr>
          <w:p w14:paraId="79D39B8F" w14:textId="77777777" w:rsidR="00B937BD" w:rsidRPr="00484B4D" w:rsidRDefault="00B937BD" w:rsidP="00B937BD">
            <w:pPr>
              <w:pStyle w:val="NoSpacing"/>
            </w:pPr>
            <w:r w:rsidRPr="00484B4D">
              <w:t>.959</w:t>
            </w:r>
          </w:p>
        </w:tc>
      </w:tr>
      <w:tr w:rsidR="00B937BD" w:rsidRPr="00484B4D" w14:paraId="5F9D6CF5" w14:textId="77777777" w:rsidTr="005505BC">
        <w:trPr>
          <w:cantSplit/>
          <w:jc w:val="center"/>
        </w:trPr>
        <w:tc>
          <w:tcPr>
            <w:tcW w:w="1345" w:type="dxa"/>
            <w:shd w:val="clear" w:color="auto" w:fill="FFFFFF" w:themeFill="background1"/>
          </w:tcPr>
          <w:p w14:paraId="195F68C7" w14:textId="77777777" w:rsidR="00B937BD" w:rsidRPr="00484B4D" w:rsidRDefault="00B937BD" w:rsidP="00B937BD">
            <w:pPr>
              <w:pStyle w:val="NoSpacing"/>
            </w:pPr>
            <w:r w:rsidRPr="00484B4D">
              <w:t>SumP3T2s2</w:t>
            </w:r>
          </w:p>
        </w:tc>
        <w:tc>
          <w:tcPr>
            <w:tcW w:w="1024" w:type="dxa"/>
            <w:shd w:val="clear" w:color="auto" w:fill="FFFFFF" w:themeFill="background1"/>
          </w:tcPr>
          <w:p w14:paraId="7C434898" w14:textId="77777777" w:rsidR="00B937BD" w:rsidRPr="00484B4D" w:rsidRDefault="00B937BD" w:rsidP="00B937BD">
            <w:pPr>
              <w:pStyle w:val="NoSpacing"/>
            </w:pPr>
            <w:r w:rsidRPr="00484B4D">
              <w:t>4.148</w:t>
            </w:r>
          </w:p>
        </w:tc>
        <w:tc>
          <w:tcPr>
            <w:tcW w:w="1024" w:type="dxa"/>
            <w:shd w:val="clear" w:color="auto" w:fill="FFFFFF" w:themeFill="background1"/>
          </w:tcPr>
          <w:p w14:paraId="3C44F92A" w14:textId="77777777" w:rsidR="00B937BD" w:rsidRPr="00484B4D" w:rsidRDefault="00B937BD" w:rsidP="00B937BD">
            <w:pPr>
              <w:pStyle w:val="NoSpacing"/>
            </w:pPr>
            <w:r w:rsidRPr="00484B4D">
              <w:t>1</w:t>
            </w:r>
          </w:p>
        </w:tc>
        <w:tc>
          <w:tcPr>
            <w:tcW w:w="1024" w:type="dxa"/>
            <w:shd w:val="clear" w:color="auto" w:fill="FFFFFF" w:themeFill="background1"/>
          </w:tcPr>
          <w:p w14:paraId="3D17832B" w14:textId="77777777" w:rsidR="00B937BD" w:rsidRPr="00484B4D" w:rsidRDefault="00B937BD" w:rsidP="00B937BD">
            <w:pPr>
              <w:pStyle w:val="NoSpacing"/>
            </w:pPr>
            <w:r w:rsidRPr="00484B4D">
              <w:t>99</w:t>
            </w:r>
          </w:p>
        </w:tc>
        <w:tc>
          <w:tcPr>
            <w:tcW w:w="1024" w:type="dxa"/>
            <w:shd w:val="clear" w:color="auto" w:fill="FFFFFF" w:themeFill="background1"/>
          </w:tcPr>
          <w:p w14:paraId="4A0FEA54" w14:textId="77777777" w:rsidR="00B937BD" w:rsidRPr="00484B4D" w:rsidRDefault="00B937BD" w:rsidP="00B937BD">
            <w:pPr>
              <w:pStyle w:val="NoSpacing"/>
            </w:pPr>
            <w:r w:rsidRPr="00484B4D">
              <w:t>.044</w:t>
            </w:r>
          </w:p>
        </w:tc>
      </w:tr>
      <w:tr w:rsidR="00B937BD" w:rsidRPr="00484B4D" w14:paraId="3E8E1803" w14:textId="77777777" w:rsidTr="005505BC">
        <w:trPr>
          <w:cantSplit/>
          <w:jc w:val="center"/>
        </w:trPr>
        <w:tc>
          <w:tcPr>
            <w:tcW w:w="1345" w:type="dxa"/>
            <w:shd w:val="clear" w:color="auto" w:fill="FFFFFF" w:themeFill="background1"/>
          </w:tcPr>
          <w:p w14:paraId="3569E80B" w14:textId="77777777" w:rsidR="00B937BD" w:rsidRPr="00484B4D" w:rsidRDefault="00B937BD" w:rsidP="00B937BD">
            <w:pPr>
              <w:pStyle w:val="NoSpacing"/>
            </w:pPr>
            <w:r w:rsidRPr="00484B4D">
              <w:t>SumP4T2</w:t>
            </w:r>
          </w:p>
        </w:tc>
        <w:tc>
          <w:tcPr>
            <w:tcW w:w="1024" w:type="dxa"/>
            <w:shd w:val="clear" w:color="auto" w:fill="FFFFFF" w:themeFill="background1"/>
          </w:tcPr>
          <w:p w14:paraId="3AF7BD32" w14:textId="77777777" w:rsidR="00B937BD" w:rsidRPr="00484B4D" w:rsidRDefault="00B937BD" w:rsidP="00B937BD">
            <w:pPr>
              <w:pStyle w:val="NoSpacing"/>
            </w:pPr>
            <w:r w:rsidRPr="00484B4D">
              <w:t>.007</w:t>
            </w:r>
          </w:p>
        </w:tc>
        <w:tc>
          <w:tcPr>
            <w:tcW w:w="1024" w:type="dxa"/>
            <w:shd w:val="clear" w:color="auto" w:fill="FFFFFF" w:themeFill="background1"/>
          </w:tcPr>
          <w:p w14:paraId="4D2200C7" w14:textId="77777777" w:rsidR="00B937BD" w:rsidRPr="00484B4D" w:rsidRDefault="00B937BD" w:rsidP="00B937BD">
            <w:pPr>
              <w:pStyle w:val="NoSpacing"/>
            </w:pPr>
            <w:r w:rsidRPr="00484B4D">
              <w:t>1</w:t>
            </w:r>
          </w:p>
        </w:tc>
        <w:tc>
          <w:tcPr>
            <w:tcW w:w="1024" w:type="dxa"/>
            <w:shd w:val="clear" w:color="auto" w:fill="FFFFFF" w:themeFill="background1"/>
          </w:tcPr>
          <w:p w14:paraId="2C84B56D" w14:textId="77777777" w:rsidR="00B937BD" w:rsidRPr="00484B4D" w:rsidRDefault="00B937BD" w:rsidP="00B937BD">
            <w:pPr>
              <w:pStyle w:val="NoSpacing"/>
            </w:pPr>
            <w:r w:rsidRPr="00484B4D">
              <w:t>99</w:t>
            </w:r>
          </w:p>
        </w:tc>
        <w:tc>
          <w:tcPr>
            <w:tcW w:w="1024" w:type="dxa"/>
            <w:shd w:val="clear" w:color="auto" w:fill="FFFFFF" w:themeFill="background1"/>
          </w:tcPr>
          <w:p w14:paraId="7A30D5FC" w14:textId="77777777" w:rsidR="00B937BD" w:rsidRPr="00484B4D" w:rsidRDefault="00B937BD" w:rsidP="00B937BD">
            <w:pPr>
              <w:pStyle w:val="NoSpacing"/>
            </w:pPr>
            <w:r w:rsidRPr="00484B4D">
              <w:t>.936</w:t>
            </w:r>
          </w:p>
        </w:tc>
      </w:tr>
      <w:tr w:rsidR="00B937BD" w:rsidRPr="00484B4D" w14:paraId="69EF47B8" w14:textId="77777777" w:rsidTr="005505BC">
        <w:trPr>
          <w:cantSplit/>
          <w:jc w:val="center"/>
        </w:trPr>
        <w:tc>
          <w:tcPr>
            <w:tcW w:w="1345" w:type="dxa"/>
            <w:shd w:val="clear" w:color="auto" w:fill="FFFFFF" w:themeFill="background1"/>
          </w:tcPr>
          <w:p w14:paraId="6C3C017B" w14:textId="77777777" w:rsidR="00B937BD" w:rsidRPr="00484B4D" w:rsidRDefault="00B937BD" w:rsidP="00B937BD">
            <w:pPr>
              <w:pStyle w:val="NoSpacing"/>
            </w:pPr>
            <w:r w:rsidRPr="00484B4D">
              <w:t>SumP5T2</w:t>
            </w:r>
          </w:p>
        </w:tc>
        <w:tc>
          <w:tcPr>
            <w:tcW w:w="1024" w:type="dxa"/>
            <w:shd w:val="clear" w:color="auto" w:fill="FFFFFF" w:themeFill="background1"/>
          </w:tcPr>
          <w:p w14:paraId="5511B615" w14:textId="77777777" w:rsidR="00B937BD" w:rsidRPr="00484B4D" w:rsidRDefault="00B937BD" w:rsidP="00B937BD">
            <w:pPr>
              <w:pStyle w:val="NoSpacing"/>
            </w:pPr>
            <w:r w:rsidRPr="00484B4D">
              <w:t>3.346</w:t>
            </w:r>
          </w:p>
        </w:tc>
        <w:tc>
          <w:tcPr>
            <w:tcW w:w="1024" w:type="dxa"/>
            <w:shd w:val="clear" w:color="auto" w:fill="FFFFFF" w:themeFill="background1"/>
          </w:tcPr>
          <w:p w14:paraId="23831AC6" w14:textId="77777777" w:rsidR="00B937BD" w:rsidRPr="00484B4D" w:rsidRDefault="00B937BD" w:rsidP="00B937BD">
            <w:pPr>
              <w:pStyle w:val="NoSpacing"/>
            </w:pPr>
            <w:r w:rsidRPr="00484B4D">
              <w:t>1</w:t>
            </w:r>
          </w:p>
        </w:tc>
        <w:tc>
          <w:tcPr>
            <w:tcW w:w="1024" w:type="dxa"/>
            <w:shd w:val="clear" w:color="auto" w:fill="FFFFFF" w:themeFill="background1"/>
          </w:tcPr>
          <w:p w14:paraId="77A6DAEB" w14:textId="77777777" w:rsidR="00B937BD" w:rsidRPr="00484B4D" w:rsidRDefault="00B937BD" w:rsidP="00B937BD">
            <w:pPr>
              <w:pStyle w:val="NoSpacing"/>
            </w:pPr>
            <w:r w:rsidRPr="00484B4D">
              <w:t>99</w:t>
            </w:r>
          </w:p>
        </w:tc>
        <w:tc>
          <w:tcPr>
            <w:tcW w:w="1024" w:type="dxa"/>
            <w:shd w:val="clear" w:color="auto" w:fill="FFFFFF" w:themeFill="background1"/>
          </w:tcPr>
          <w:p w14:paraId="57296407" w14:textId="77777777" w:rsidR="00B937BD" w:rsidRPr="00484B4D" w:rsidRDefault="00B937BD" w:rsidP="00B937BD">
            <w:pPr>
              <w:pStyle w:val="NoSpacing"/>
            </w:pPr>
            <w:r w:rsidRPr="00484B4D">
              <w:t>.070</w:t>
            </w:r>
          </w:p>
        </w:tc>
      </w:tr>
      <w:tr w:rsidR="00B937BD" w:rsidRPr="00484B4D" w14:paraId="64F6F74F" w14:textId="77777777" w:rsidTr="005505BC">
        <w:trPr>
          <w:cantSplit/>
          <w:jc w:val="center"/>
        </w:trPr>
        <w:tc>
          <w:tcPr>
            <w:tcW w:w="1345" w:type="dxa"/>
            <w:shd w:val="clear" w:color="auto" w:fill="FFFFFF" w:themeFill="background1"/>
          </w:tcPr>
          <w:p w14:paraId="1B9F3C42" w14:textId="77777777" w:rsidR="00B937BD" w:rsidRPr="00484B4D" w:rsidRDefault="00B937BD" w:rsidP="00B937BD">
            <w:pPr>
              <w:pStyle w:val="NoSpacing"/>
            </w:pPr>
            <w:r w:rsidRPr="00484B4D">
              <w:t>SumP6T2</w:t>
            </w:r>
          </w:p>
        </w:tc>
        <w:tc>
          <w:tcPr>
            <w:tcW w:w="1024" w:type="dxa"/>
            <w:shd w:val="clear" w:color="auto" w:fill="FFFFFF" w:themeFill="background1"/>
          </w:tcPr>
          <w:p w14:paraId="46D75E5B" w14:textId="77777777" w:rsidR="00B937BD" w:rsidRPr="00484B4D" w:rsidRDefault="00B937BD" w:rsidP="00B937BD">
            <w:pPr>
              <w:pStyle w:val="NoSpacing"/>
            </w:pPr>
            <w:r w:rsidRPr="00484B4D">
              <w:t>2.885</w:t>
            </w:r>
          </w:p>
        </w:tc>
        <w:tc>
          <w:tcPr>
            <w:tcW w:w="1024" w:type="dxa"/>
            <w:shd w:val="clear" w:color="auto" w:fill="FFFFFF" w:themeFill="background1"/>
          </w:tcPr>
          <w:p w14:paraId="4F4BB39B" w14:textId="77777777" w:rsidR="00B937BD" w:rsidRPr="00484B4D" w:rsidRDefault="00B937BD" w:rsidP="00B937BD">
            <w:pPr>
              <w:pStyle w:val="NoSpacing"/>
            </w:pPr>
            <w:r w:rsidRPr="00484B4D">
              <w:t>1</w:t>
            </w:r>
          </w:p>
        </w:tc>
        <w:tc>
          <w:tcPr>
            <w:tcW w:w="1024" w:type="dxa"/>
            <w:shd w:val="clear" w:color="auto" w:fill="FFFFFF" w:themeFill="background1"/>
          </w:tcPr>
          <w:p w14:paraId="26362664" w14:textId="77777777" w:rsidR="00B937BD" w:rsidRPr="00484B4D" w:rsidRDefault="00B937BD" w:rsidP="00B937BD">
            <w:pPr>
              <w:pStyle w:val="NoSpacing"/>
            </w:pPr>
            <w:r w:rsidRPr="00484B4D">
              <w:t>99</w:t>
            </w:r>
          </w:p>
        </w:tc>
        <w:tc>
          <w:tcPr>
            <w:tcW w:w="1024" w:type="dxa"/>
            <w:shd w:val="clear" w:color="auto" w:fill="FFFFFF" w:themeFill="background1"/>
          </w:tcPr>
          <w:p w14:paraId="066B7F15" w14:textId="77777777" w:rsidR="00B937BD" w:rsidRPr="00484B4D" w:rsidRDefault="00B937BD" w:rsidP="00B937BD">
            <w:pPr>
              <w:pStyle w:val="NoSpacing"/>
            </w:pPr>
            <w:r w:rsidRPr="00484B4D">
              <w:t>.093</w:t>
            </w:r>
          </w:p>
        </w:tc>
      </w:tr>
      <w:tr w:rsidR="00B937BD" w:rsidRPr="00484B4D" w14:paraId="72A58948" w14:textId="77777777" w:rsidTr="005505BC">
        <w:trPr>
          <w:cantSplit/>
          <w:jc w:val="center"/>
        </w:trPr>
        <w:tc>
          <w:tcPr>
            <w:tcW w:w="1345" w:type="dxa"/>
            <w:shd w:val="clear" w:color="auto" w:fill="FFFFFF" w:themeFill="background1"/>
          </w:tcPr>
          <w:p w14:paraId="717A71C1" w14:textId="77777777" w:rsidR="00B937BD" w:rsidRPr="00484B4D" w:rsidRDefault="00B937BD" w:rsidP="00B937BD">
            <w:pPr>
              <w:pStyle w:val="NoSpacing"/>
            </w:pPr>
            <w:r w:rsidRPr="00484B4D">
              <w:t>SumP7T2</w:t>
            </w:r>
          </w:p>
        </w:tc>
        <w:tc>
          <w:tcPr>
            <w:tcW w:w="1024" w:type="dxa"/>
            <w:shd w:val="clear" w:color="auto" w:fill="FFFFFF" w:themeFill="background1"/>
          </w:tcPr>
          <w:p w14:paraId="016AF413" w14:textId="77777777" w:rsidR="00B937BD" w:rsidRPr="00484B4D" w:rsidRDefault="00B937BD" w:rsidP="00B937BD">
            <w:pPr>
              <w:pStyle w:val="NoSpacing"/>
            </w:pPr>
            <w:r w:rsidRPr="00484B4D">
              <w:t>.652</w:t>
            </w:r>
          </w:p>
        </w:tc>
        <w:tc>
          <w:tcPr>
            <w:tcW w:w="1024" w:type="dxa"/>
            <w:shd w:val="clear" w:color="auto" w:fill="FFFFFF" w:themeFill="background1"/>
          </w:tcPr>
          <w:p w14:paraId="7F223339" w14:textId="77777777" w:rsidR="00B937BD" w:rsidRPr="00484B4D" w:rsidRDefault="00B937BD" w:rsidP="00B937BD">
            <w:pPr>
              <w:pStyle w:val="NoSpacing"/>
            </w:pPr>
            <w:r w:rsidRPr="00484B4D">
              <w:t>1</w:t>
            </w:r>
          </w:p>
        </w:tc>
        <w:tc>
          <w:tcPr>
            <w:tcW w:w="1024" w:type="dxa"/>
            <w:shd w:val="clear" w:color="auto" w:fill="FFFFFF" w:themeFill="background1"/>
          </w:tcPr>
          <w:p w14:paraId="5E1405FF" w14:textId="77777777" w:rsidR="00B937BD" w:rsidRPr="00484B4D" w:rsidRDefault="00B937BD" w:rsidP="00B937BD">
            <w:pPr>
              <w:pStyle w:val="NoSpacing"/>
            </w:pPr>
            <w:r w:rsidRPr="00484B4D">
              <w:t>99</w:t>
            </w:r>
          </w:p>
        </w:tc>
        <w:tc>
          <w:tcPr>
            <w:tcW w:w="1024" w:type="dxa"/>
            <w:shd w:val="clear" w:color="auto" w:fill="FFFFFF" w:themeFill="background1"/>
          </w:tcPr>
          <w:p w14:paraId="4136E96B" w14:textId="77777777" w:rsidR="00B937BD" w:rsidRPr="00484B4D" w:rsidRDefault="00B937BD" w:rsidP="00B937BD">
            <w:pPr>
              <w:pStyle w:val="NoSpacing"/>
            </w:pPr>
            <w:r w:rsidRPr="00484B4D">
              <w:t>.421</w:t>
            </w:r>
          </w:p>
        </w:tc>
      </w:tr>
      <w:tr w:rsidR="00B937BD" w:rsidRPr="00484B4D" w14:paraId="0523C3A3" w14:textId="77777777" w:rsidTr="005505BC">
        <w:trPr>
          <w:cantSplit/>
          <w:jc w:val="center"/>
        </w:trPr>
        <w:tc>
          <w:tcPr>
            <w:tcW w:w="1345" w:type="dxa"/>
            <w:shd w:val="clear" w:color="auto" w:fill="FFFFFF" w:themeFill="background1"/>
          </w:tcPr>
          <w:p w14:paraId="53908013" w14:textId="77777777" w:rsidR="00B937BD" w:rsidRPr="00484B4D" w:rsidRDefault="00B937BD" w:rsidP="00B937BD">
            <w:pPr>
              <w:pStyle w:val="NoSpacing"/>
            </w:pPr>
            <w:r w:rsidRPr="00484B4D">
              <w:t>SumP8T2</w:t>
            </w:r>
          </w:p>
        </w:tc>
        <w:tc>
          <w:tcPr>
            <w:tcW w:w="1024" w:type="dxa"/>
            <w:shd w:val="clear" w:color="auto" w:fill="FFFFFF" w:themeFill="background1"/>
          </w:tcPr>
          <w:p w14:paraId="698E288D" w14:textId="77777777" w:rsidR="00B937BD" w:rsidRPr="00484B4D" w:rsidRDefault="00B937BD" w:rsidP="00B937BD">
            <w:pPr>
              <w:pStyle w:val="NoSpacing"/>
            </w:pPr>
            <w:r w:rsidRPr="00484B4D">
              <w:t>.186</w:t>
            </w:r>
          </w:p>
        </w:tc>
        <w:tc>
          <w:tcPr>
            <w:tcW w:w="1024" w:type="dxa"/>
            <w:shd w:val="clear" w:color="auto" w:fill="FFFFFF" w:themeFill="background1"/>
          </w:tcPr>
          <w:p w14:paraId="0DB68649" w14:textId="77777777" w:rsidR="00B937BD" w:rsidRPr="00484B4D" w:rsidRDefault="00B937BD" w:rsidP="00B937BD">
            <w:pPr>
              <w:pStyle w:val="NoSpacing"/>
            </w:pPr>
            <w:r w:rsidRPr="00484B4D">
              <w:t>1</w:t>
            </w:r>
          </w:p>
        </w:tc>
        <w:tc>
          <w:tcPr>
            <w:tcW w:w="1024" w:type="dxa"/>
            <w:shd w:val="clear" w:color="auto" w:fill="FFFFFF" w:themeFill="background1"/>
          </w:tcPr>
          <w:p w14:paraId="2E4A68ED" w14:textId="77777777" w:rsidR="00B937BD" w:rsidRPr="00484B4D" w:rsidRDefault="00B937BD" w:rsidP="00B937BD">
            <w:pPr>
              <w:pStyle w:val="NoSpacing"/>
            </w:pPr>
            <w:r w:rsidRPr="00484B4D">
              <w:t>99</w:t>
            </w:r>
          </w:p>
        </w:tc>
        <w:tc>
          <w:tcPr>
            <w:tcW w:w="1024" w:type="dxa"/>
            <w:shd w:val="clear" w:color="auto" w:fill="FFFFFF" w:themeFill="background1"/>
          </w:tcPr>
          <w:p w14:paraId="77A80DBB" w14:textId="77777777" w:rsidR="00B937BD" w:rsidRPr="00484B4D" w:rsidRDefault="00B937BD" w:rsidP="00B937BD">
            <w:pPr>
              <w:pStyle w:val="NoSpacing"/>
            </w:pPr>
            <w:r w:rsidRPr="00484B4D">
              <w:t>.667</w:t>
            </w:r>
          </w:p>
        </w:tc>
      </w:tr>
      <w:tr w:rsidR="00B937BD" w:rsidRPr="00484B4D" w14:paraId="65A327AA" w14:textId="77777777" w:rsidTr="005505BC">
        <w:trPr>
          <w:cantSplit/>
          <w:jc w:val="center"/>
        </w:trPr>
        <w:tc>
          <w:tcPr>
            <w:tcW w:w="5441" w:type="dxa"/>
            <w:gridSpan w:val="5"/>
            <w:shd w:val="clear" w:color="auto" w:fill="FFFFFF" w:themeFill="background1"/>
          </w:tcPr>
          <w:p w14:paraId="4814EBB4" w14:textId="77777777" w:rsidR="00B937BD" w:rsidRPr="00484B4D" w:rsidRDefault="00B937BD" w:rsidP="00B937BD">
            <w:pPr>
              <w:pStyle w:val="NoSpacing"/>
            </w:pPr>
            <w:r w:rsidRPr="00484B4D">
              <w:t>Tests the null hypothesis that the error variance of the dependent variable is equal across groups.</w:t>
            </w:r>
          </w:p>
        </w:tc>
      </w:tr>
      <w:tr w:rsidR="00B937BD" w:rsidRPr="00484B4D" w14:paraId="0349399E" w14:textId="77777777" w:rsidTr="005505BC">
        <w:trPr>
          <w:cantSplit/>
          <w:jc w:val="center"/>
        </w:trPr>
        <w:tc>
          <w:tcPr>
            <w:tcW w:w="5441" w:type="dxa"/>
            <w:gridSpan w:val="5"/>
            <w:shd w:val="clear" w:color="auto" w:fill="FFFFFF" w:themeFill="background1"/>
          </w:tcPr>
          <w:p w14:paraId="3F358557" w14:textId="77777777" w:rsidR="00B937BD" w:rsidRPr="00484B4D" w:rsidRDefault="00B937BD" w:rsidP="00B937BD">
            <w:pPr>
              <w:pStyle w:val="NoSpacing"/>
            </w:pPr>
            <w:r w:rsidRPr="00484B4D">
              <w:t>a. Design: Intercept + group + pretest + group * pretest</w:t>
            </w:r>
          </w:p>
        </w:tc>
      </w:tr>
      <w:bookmarkEnd w:id="6"/>
    </w:tbl>
    <w:p w14:paraId="4C660CEE" w14:textId="77777777" w:rsidR="00996EE0" w:rsidRDefault="00996EE0" w:rsidP="00996EE0">
      <w:pPr>
        <w:autoSpaceDE w:val="0"/>
        <w:autoSpaceDN w:val="0"/>
        <w:adjustRightInd w:val="0"/>
        <w:spacing w:after="0" w:line="240" w:lineRule="auto"/>
        <w:rPr>
          <w:rFonts w:cstheme="minorHAnsi"/>
        </w:rPr>
      </w:pPr>
    </w:p>
    <w:p w14:paraId="0A0F6ED8" w14:textId="6D32AEBA" w:rsidR="00B937BD" w:rsidRPr="00B47A38" w:rsidRDefault="00B937BD" w:rsidP="00996EE0">
      <w:pPr>
        <w:autoSpaceDE w:val="0"/>
        <w:autoSpaceDN w:val="0"/>
        <w:adjustRightInd w:val="0"/>
        <w:spacing w:after="0" w:line="240" w:lineRule="auto"/>
        <w:rPr>
          <w:rFonts w:asciiTheme="majorBidi" w:hAnsiTheme="majorBidi" w:cstheme="majorBidi"/>
        </w:rPr>
      </w:pPr>
      <w:proofErr w:type="spellStart"/>
      <w:r w:rsidRPr="00B47A38">
        <w:rPr>
          <w:rFonts w:asciiTheme="majorBidi" w:hAnsiTheme="majorBidi" w:cstheme="majorBidi"/>
        </w:rPr>
        <w:lastRenderedPageBreak/>
        <w:t>Levene’s</w:t>
      </w:r>
      <w:proofErr w:type="spellEnd"/>
      <w:r w:rsidRPr="00B47A38">
        <w:rPr>
          <w:rFonts w:asciiTheme="majorBidi" w:hAnsiTheme="majorBidi" w:cstheme="majorBidi"/>
        </w:rPr>
        <w:t xml:space="preserve"> test of error variance turns out to be .64, .06, .95, .04, .93, .07, .09, .42, .66 respectively for parts one, two, three (section one), three (section two), four, five, six, seven and eight. So, only the assumption of error variance of section 2 of part 3 has not been met so a more conservative alpha is set in order. </w:t>
      </w:r>
    </w:p>
    <w:p w14:paraId="0D1C06D3" w14:textId="77777777" w:rsidR="00B937BD" w:rsidRPr="00B47A38" w:rsidRDefault="00B937BD" w:rsidP="00996EE0">
      <w:pPr>
        <w:pStyle w:val="Level3"/>
        <w:rPr>
          <w:rFonts w:asciiTheme="majorBidi" w:hAnsiTheme="majorBidi" w:cstheme="majorBidi"/>
        </w:rPr>
      </w:pPr>
    </w:p>
    <w:p w14:paraId="200E2232" w14:textId="4651DD05" w:rsidR="00E92508" w:rsidRPr="00B47A38" w:rsidRDefault="00E92508" w:rsidP="00996EE0">
      <w:pPr>
        <w:spacing w:line="240" w:lineRule="auto"/>
        <w:rPr>
          <w:rFonts w:asciiTheme="majorBidi" w:hAnsiTheme="majorBidi" w:cstheme="majorBidi"/>
        </w:rPr>
      </w:pPr>
      <w:r w:rsidRPr="00B47A38">
        <w:rPr>
          <w:rFonts w:asciiTheme="majorBidi" w:hAnsiTheme="majorBidi" w:cstheme="majorBidi"/>
        </w:rPr>
        <w:t xml:space="preserve">To locate where the difference between play and animation has occurred regarding reading comprehension, </w:t>
      </w:r>
      <w:r w:rsidRPr="00B47A38">
        <w:rPr>
          <w:rFonts w:asciiTheme="majorBidi" w:hAnsiTheme="majorBidi" w:cstheme="majorBidi"/>
          <w:color w:val="010205"/>
        </w:rPr>
        <w:t xml:space="preserve">Tests of Between-Subjects Effects has been examined. The findings show that part 1 and part 2 are statistically significant: F (1,101) = 5.24, p = 0.02, </w:t>
      </w:r>
      <w:r w:rsidRPr="00B47A38">
        <w:rPr>
          <w:rFonts w:asciiTheme="majorBidi" w:hAnsiTheme="majorBidi" w:cstheme="majorBidi"/>
          <w:color w:val="202122"/>
          <w:shd w:val="clear" w:color="auto" w:fill="FFFFFF"/>
        </w:rPr>
        <w:t xml:space="preserve">η = 0.05 for </w:t>
      </w:r>
      <w:r w:rsidRPr="00B47A38">
        <w:rPr>
          <w:rFonts w:asciiTheme="majorBidi" w:hAnsiTheme="majorBidi" w:cstheme="majorBidi"/>
          <w:color w:val="202122"/>
          <w:u w:val="single"/>
          <w:shd w:val="clear" w:color="auto" w:fill="FFFFFF"/>
        </w:rPr>
        <w:t>part 1</w:t>
      </w:r>
      <w:r w:rsidRPr="00B47A38">
        <w:rPr>
          <w:rFonts w:asciiTheme="majorBidi" w:hAnsiTheme="majorBidi" w:cstheme="majorBidi"/>
          <w:color w:val="202122"/>
          <w:shd w:val="clear" w:color="auto" w:fill="FFFFFF"/>
        </w:rPr>
        <w:t xml:space="preserve"> and </w:t>
      </w:r>
      <w:r w:rsidRPr="00B47A38">
        <w:rPr>
          <w:rFonts w:asciiTheme="majorBidi" w:hAnsiTheme="majorBidi" w:cstheme="majorBidi"/>
          <w:color w:val="010205"/>
        </w:rPr>
        <w:t xml:space="preserve">F (1,101) = 10.05, p = 0.00, </w:t>
      </w:r>
      <w:r w:rsidRPr="00B47A38">
        <w:rPr>
          <w:rFonts w:asciiTheme="majorBidi" w:hAnsiTheme="majorBidi" w:cstheme="majorBidi"/>
          <w:color w:val="202122"/>
          <w:shd w:val="clear" w:color="auto" w:fill="FFFFFF"/>
        </w:rPr>
        <w:t xml:space="preserve">η = 0.09 for </w:t>
      </w:r>
      <w:r w:rsidRPr="00B47A38">
        <w:rPr>
          <w:rFonts w:asciiTheme="majorBidi" w:hAnsiTheme="majorBidi" w:cstheme="majorBidi"/>
          <w:color w:val="202122"/>
          <w:u w:val="single"/>
          <w:shd w:val="clear" w:color="auto" w:fill="FFFFFF"/>
        </w:rPr>
        <w:t>part 2</w:t>
      </w:r>
      <w:r w:rsidRPr="00B47A38">
        <w:rPr>
          <w:rFonts w:asciiTheme="majorBidi" w:hAnsiTheme="majorBidi" w:cstheme="majorBidi"/>
          <w:color w:val="202122"/>
          <w:shd w:val="clear" w:color="auto" w:fill="FFFFFF"/>
        </w:rPr>
        <w:t xml:space="preserve"> and </w:t>
      </w:r>
      <w:r w:rsidRPr="00B47A38">
        <w:rPr>
          <w:rFonts w:asciiTheme="majorBidi" w:hAnsiTheme="majorBidi" w:cstheme="majorBidi"/>
          <w:color w:val="010205"/>
        </w:rPr>
        <w:t xml:space="preserve">F (1,101) = 1.79, p = 0.18, </w:t>
      </w:r>
      <w:r w:rsidRPr="00B47A38">
        <w:rPr>
          <w:rFonts w:asciiTheme="majorBidi" w:hAnsiTheme="majorBidi" w:cstheme="majorBidi"/>
          <w:color w:val="202122"/>
          <w:shd w:val="clear" w:color="auto" w:fill="FFFFFF"/>
        </w:rPr>
        <w:t xml:space="preserve">η = 0.01 for </w:t>
      </w:r>
      <w:r w:rsidRPr="00B47A38">
        <w:rPr>
          <w:rFonts w:asciiTheme="majorBidi" w:hAnsiTheme="majorBidi" w:cstheme="majorBidi"/>
          <w:color w:val="202122"/>
          <w:u w:val="single"/>
          <w:shd w:val="clear" w:color="auto" w:fill="FFFFFF"/>
        </w:rPr>
        <w:t>part 8</w:t>
      </w:r>
      <w:r w:rsidRPr="00B47A38">
        <w:rPr>
          <w:rFonts w:asciiTheme="majorBidi" w:hAnsiTheme="majorBidi" w:cstheme="majorBidi"/>
          <w:color w:val="202122"/>
          <w:shd w:val="clear" w:color="auto" w:fill="FFFFFF"/>
        </w:rPr>
        <w:t xml:space="preserve">. Effect sizes of parts 1 and 2 are very small (because they are less than 0.2). however, the effect size for part 8 seems statistically significant. </w:t>
      </w:r>
    </w:p>
    <w:p w14:paraId="2BA326E1" w14:textId="5F86A864" w:rsidR="00CB3015" w:rsidRPr="00B47A38" w:rsidRDefault="00E92508" w:rsidP="00E92508">
      <w:pPr>
        <w:pStyle w:val="ListParagraph"/>
        <w:numPr>
          <w:ilvl w:val="0"/>
          <w:numId w:val="1"/>
        </w:numPr>
        <w:rPr>
          <w:rFonts w:asciiTheme="majorBidi" w:hAnsiTheme="majorBidi" w:cstheme="majorBidi"/>
          <w:b/>
          <w:bCs/>
        </w:rPr>
      </w:pPr>
      <w:r w:rsidRPr="00B47A38">
        <w:rPr>
          <w:rFonts w:asciiTheme="majorBidi" w:hAnsiTheme="majorBidi" w:cstheme="majorBidi"/>
          <w:b/>
          <w:bCs/>
        </w:rPr>
        <w:t xml:space="preserve">Discussion </w:t>
      </w:r>
    </w:p>
    <w:p w14:paraId="4BF6E12A" w14:textId="16AFB7D1" w:rsidR="00E92508" w:rsidRPr="00B47A38" w:rsidRDefault="00E92508" w:rsidP="00E92508">
      <w:pPr>
        <w:pStyle w:val="ListParagraph"/>
        <w:numPr>
          <w:ilvl w:val="1"/>
          <w:numId w:val="1"/>
        </w:numPr>
        <w:rPr>
          <w:rFonts w:asciiTheme="majorBidi" w:hAnsiTheme="majorBidi" w:cstheme="majorBidi"/>
          <w:i/>
          <w:iCs/>
        </w:rPr>
      </w:pPr>
      <w:r w:rsidRPr="00B47A38">
        <w:rPr>
          <w:rFonts w:asciiTheme="majorBidi" w:hAnsiTheme="majorBidi" w:cstheme="majorBidi"/>
          <w:i/>
          <w:iCs/>
        </w:rPr>
        <w:t xml:space="preserve">On Reading Anxiety </w:t>
      </w:r>
    </w:p>
    <w:p w14:paraId="03EDA3E1" w14:textId="77777777" w:rsidR="00E92508" w:rsidRPr="00B47A38" w:rsidRDefault="00E92508" w:rsidP="00E92508">
      <w:pPr>
        <w:rPr>
          <w:rFonts w:asciiTheme="majorBidi" w:hAnsiTheme="majorBidi" w:cstheme="majorBidi"/>
        </w:rPr>
      </w:pPr>
      <w:r w:rsidRPr="00B47A38">
        <w:rPr>
          <w:rFonts w:asciiTheme="majorBidi" w:hAnsiTheme="majorBidi" w:cstheme="majorBidi"/>
        </w:rPr>
        <w:t xml:space="preserve">According to the findings of this study, no significant difference has been found between groups who were treated by either plays or animations as their pre-reading activity regarding reading anxiety. This means that the null hypothesis is accepted.   </w:t>
      </w:r>
    </w:p>
    <w:p w14:paraId="4EB49FE4" w14:textId="77777777" w:rsidR="00E92508" w:rsidRPr="00B47A38" w:rsidRDefault="00E92508" w:rsidP="00E92508">
      <w:pPr>
        <w:rPr>
          <w:rFonts w:asciiTheme="majorBidi" w:hAnsiTheme="majorBidi" w:cstheme="majorBidi"/>
        </w:rPr>
      </w:pPr>
      <w:r w:rsidRPr="00B47A38">
        <w:rPr>
          <w:rFonts w:asciiTheme="majorBidi" w:hAnsiTheme="majorBidi" w:cstheme="majorBidi"/>
        </w:rPr>
        <w:t xml:space="preserve">According to </w:t>
      </w:r>
      <w:bookmarkStart w:id="8" w:name="_Hlk90911032"/>
      <w:r w:rsidRPr="00B47A38">
        <w:rPr>
          <w:rFonts w:asciiTheme="majorBidi" w:hAnsiTheme="majorBidi" w:cstheme="majorBidi"/>
        </w:rPr>
        <w:t xml:space="preserve">Rajab </w:t>
      </w:r>
      <w:bookmarkEnd w:id="8"/>
      <w:r w:rsidRPr="00B47A38">
        <w:rPr>
          <w:rFonts w:asciiTheme="majorBidi" w:hAnsiTheme="majorBidi" w:cstheme="majorBidi"/>
        </w:rPr>
        <w:t xml:space="preserve">et al. (2012), among other factors, unfamiliar topics play a major role in reading anxiety. This might help shine some light on why neither plays nor animations differed from each other in the results they produced. Perhaps at the end of the study, after having been familiarized with their reading topics throughout the study by plays and animations, participants still felt uneasy and doubtful about myriads of topics that they might come across later and would have to figure them out on their own without the help of any pre-reading activity. In this manner, neither plays nor animations managed to alleviate the inherent anxiety induced by the sheer number of unfamiliar and new topics. </w:t>
      </w:r>
    </w:p>
    <w:p w14:paraId="50F1415D" w14:textId="52655FCE" w:rsidR="00A64747" w:rsidRPr="00B47A38" w:rsidRDefault="00E92508" w:rsidP="00A64747">
      <w:pPr>
        <w:rPr>
          <w:rFonts w:asciiTheme="majorBidi" w:hAnsiTheme="majorBidi" w:cstheme="majorBidi"/>
        </w:rPr>
      </w:pPr>
      <w:r w:rsidRPr="00B47A38">
        <w:rPr>
          <w:rFonts w:asciiTheme="majorBidi" w:hAnsiTheme="majorBidi" w:cstheme="majorBidi"/>
        </w:rPr>
        <w:t xml:space="preserve">Data obtained from this study can also be interpreted by looking at </w:t>
      </w:r>
      <w:bookmarkStart w:id="9" w:name="_Hlk90911079"/>
      <w:r w:rsidRPr="00B47A38">
        <w:rPr>
          <w:rFonts w:asciiTheme="majorBidi" w:hAnsiTheme="majorBidi" w:cstheme="majorBidi"/>
        </w:rPr>
        <w:t xml:space="preserve">Horwitz et al.’s 1999 </w:t>
      </w:r>
      <w:bookmarkEnd w:id="9"/>
      <w:r w:rsidRPr="00B47A38">
        <w:rPr>
          <w:rFonts w:asciiTheme="majorBidi" w:hAnsiTheme="majorBidi" w:cstheme="majorBidi"/>
        </w:rPr>
        <w:t>study. They established that background knowledge is a factor that contributes to reading anxiety. From the results of the current study, it is assumed that participants felt neither plays nor animations differed from each other regarding background information elicited from the plays and animations prior to reading their texts. Plays gave as much background information as animations, according to data, and neither proved better.</w:t>
      </w:r>
    </w:p>
    <w:p w14:paraId="56A46DD4" w14:textId="141B72BF" w:rsidR="00E92508" w:rsidRPr="00B47A38" w:rsidRDefault="00E92508" w:rsidP="00E92508">
      <w:pPr>
        <w:pStyle w:val="ListParagraph"/>
        <w:numPr>
          <w:ilvl w:val="1"/>
          <w:numId w:val="1"/>
        </w:numPr>
        <w:rPr>
          <w:rFonts w:asciiTheme="majorBidi" w:hAnsiTheme="majorBidi" w:cstheme="majorBidi"/>
          <w:i/>
          <w:iCs/>
        </w:rPr>
      </w:pPr>
      <w:r w:rsidRPr="00B47A38">
        <w:rPr>
          <w:rFonts w:asciiTheme="majorBidi" w:hAnsiTheme="majorBidi" w:cstheme="majorBidi"/>
          <w:i/>
          <w:iCs/>
        </w:rPr>
        <w:t xml:space="preserve">On reading comprehension </w:t>
      </w:r>
    </w:p>
    <w:p w14:paraId="20359083" w14:textId="59BC3AC2" w:rsidR="00E92508" w:rsidRPr="00B47A38" w:rsidRDefault="00E92508" w:rsidP="00E92508">
      <w:pPr>
        <w:rPr>
          <w:rFonts w:asciiTheme="majorBidi" w:hAnsiTheme="majorBidi" w:cstheme="majorBidi"/>
        </w:rPr>
      </w:pPr>
      <w:r w:rsidRPr="00B47A38">
        <w:rPr>
          <w:rFonts w:asciiTheme="majorBidi" w:hAnsiTheme="majorBidi" w:cstheme="majorBidi"/>
        </w:rPr>
        <w:t xml:space="preserve">The results of data analysis show a trend in favor of play over animation regarding reading comprehension. </w:t>
      </w:r>
      <w:r w:rsidR="000A3AB6" w:rsidRPr="00B47A38">
        <w:rPr>
          <w:rFonts w:asciiTheme="majorBidi" w:hAnsiTheme="majorBidi" w:cstheme="majorBidi"/>
        </w:rPr>
        <w:t>T</w:t>
      </w:r>
      <w:r w:rsidRPr="00B47A38">
        <w:rPr>
          <w:rFonts w:asciiTheme="majorBidi" w:hAnsiTheme="majorBidi" w:cstheme="majorBidi"/>
        </w:rPr>
        <w:t xml:space="preserve">he </w:t>
      </w:r>
      <w:r w:rsidR="00A31618" w:rsidRPr="00B47A38">
        <w:rPr>
          <w:rFonts w:asciiTheme="majorBidi" w:hAnsiTheme="majorBidi" w:cstheme="majorBidi"/>
        </w:rPr>
        <w:t>researchers</w:t>
      </w:r>
      <w:r w:rsidRPr="00B47A38">
        <w:rPr>
          <w:rFonts w:asciiTheme="majorBidi" w:hAnsiTheme="majorBidi" w:cstheme="majorBidi"/>
        </w:rPr>
        <w:t xml:space="preserve"> wish to insist upon the importance of the word “trend” since the result of ANCOVA turned out .064, which is close to the standard p-value of 0.05. In other words, although the null hypothesis that “neither plays nor animations will differ from each other regarding reading comprehension” is not completely rejected, it cannot be conclusively accepted either. </w:t>
      </w:r>
    </w:p>
    <w:p w14:paraId="41F5C5A9" w14:textId="77777777" w:rsidR="00E92508" w:rsidRPr="00B47A38" w:rsidRDefault="00E92508" w:rsidP="00E92508">
      <w:pPr>
        <w:rPr>
          <w:rFonts w:asciiTheme="majorBidi" w:hAnsiTheme="majorBidi" w:cstheme="majorBidi"/>
        </w:rPr>
      </w:pPr>
      <w:r w:rsidRPr="00B47A38">
        <w:rPr>
          <w:rFonts w:asciiTheme="majorBidi" w:hAnsiTheme="majorBidi" w:cstheme="majorBidi"/>
        </w:rPr>
        <w:t xml:space="preserve">The result of this study follows the same trajectory as </w:t>
      </w:r>
      <w:bookmarkStart w:id="10" w:name="_Hlk90911115"/>
      <w:r w:rsidRPr="00B47A38">
        <w:rPr>
          <w:rFonts w:asciiTheme="majorBidi" w:hAnsiTheme="majorBidi" w:cstheme="majorBidi"/>
        </w:rPr>
        <w:t>Rose, Dale S., et al.’s study in 2000</w:t>
      </w:r>
      <w:bookmarkEnd w:id="10"/>
      <w:r w:rsidRPr="00B47A38">
        <w:rPr>
          <w:rFonts w:asciiTheme="majorBidi" w:hAnsiTheme="majorBidi" w:cstheme="majorBidi"/>
        </w:rPr>
        <w:t xml:space="preserve">, where they found a link between drama-based instruction and improved reading comprehension. </w:t>
      </w:r>
      <w:bookmarkStart w:id="11" w:name="_Hlk90911125"/>
      <w:r w:rsidRPr="00B47A38">
        <w:rPr>
          <w:rFonts w:asciiTheme="majorBidi" w:hAnsiTheme="majorBidi" w:cstheme="majorBidi"/>
        </w:rPr>
        <w:t xml:space="preserve">Hoyt </w:t>
      </w:r>
      <w:bookmarkEnd w:id="11"/>
      <w:r w:rsidRPr="00B47A38">
        <w:rPr>
          <w:rFonts w:asciiTheme="majorBidi" w:hAnsiTheme="majorBidi" w:cstheme="majorBidi"/>
        </w:rPr>
        <w:t xml:space="preserve">(1992) explained that dramatization of texts by human beings helps comprehension. </w:t>
      </w:r>
    </w:p>
    <w:p w14:paraId="0CACB698" w14:textId="678F11B6" w:rsidR="00E92508" w:rsidRPr="00B47A38" w:rsidRDefault="00E92508" w:rsidP="00E92508">
      <w:pPr>
        <w:rPr>
          <w:rFonts w:asciiTheme="majorBidi" w:hAnsiTheme="majorBidi" w:cstheme="majorBidi"/>
        </w:rPr>
      </w:pPr>
      <w:r w:rsidRPr="00B47A38">
        <w:rPr>
          <w:rFonts w:asciiTheme="majorBidi" w:hAnsiTheme="majorBidi" w:cstheme="majorBidi"/>
        </w:rPr>
        <w:t xml:space="preserve">Following Hoyt’s footsteps, the </w:t>
      </w:r>
      <w:r w:rsidR="00A31618" w:rsidRPr="00B47A38">
        <w:rPr>
          <w:rFonts w:asciiTheme="majorBidi" w:hAnsiTheme="majorBidi" w:cstheme="majorBidi"/>
        </w:rPr>
        <w:t>researchers</w:t>
      </w:r>
      <w:r w:rsidRPr="00B47A38">
        <w:rPr>
          <w:rFonts w:asciiTheme="majorBidi" w:hAnsiTheme="majorBidi" w:cstheme="majorBidi"/>
        </w:rPr>
        <w:t xml:space="preserve"> attribute the difference in results between plays and animations to the element of human presence in plays. Watching two humans interact before reading a text about that interaction, noticing tone variations, body movements and facial expressions sparked participants’ thinking and curiosity and over time trained them to relate to texts more deeply compared with animations. Over the course of the study, participants in the play group came to associate a text with real life through watching two humans make interactions about them. These human interactions made written language more believable and relatable, things animations failed to capture as successfully. </w:t>
      </w:r>
    </w:p>
    <w:p w14:paraId="7C0DBF55" w14:textId="16194592" w:rsidR="00E92508" w:rsidRPr="00B47A38" w:rsidRDefault="00E92508" w:rsidP="00E92508">
      <w:pPr>
        <w:rPr>
          <w:rFonts w:asciiTheme="majorBidi" w:hAnsiTheme="majorBidi" w:cstheme="majorBidi"/>
        </w:rPr>
      </w:pPr>
      <w:r w:rsidRPr="00B47A38">
        <w:rPr>
          <w:rFonts w:asciiTheme="majorBidi" w:hAnsiTheme="majorBidi" w:cstheme="majorBidi"/>
        </w:rPr>
        <w:lastRenderedPageBreak/>
        <w:t xml:space="preserve">The results of this study also corroborate </w:t>
      </w:r>
      <w:bookmarkStart w:id="12" w:name="_Hlk90911179"/>
      <w:r w:rsidRPr="00B47A38">
        <w:rPr>
          <w:rFonts w:asciiTheme="majorBidi" w:hAnsiTheme="majorBidi" w:cstheme="majorBidi"/>
        </w:rPr>
        <w:t xml:space="preserve">McMaster’s 1998 </w:t>
      </w:r>
      <w:bookmarkEnd w:id="12"/>
      <w:r w:rsidRPr="00B47A38">
        <w:rPr>
          <w:rFonts w:asciiTheme="majorBidi" w:hAnsiTheme="majorBidi" w:cstheme="majorBidi"/>
        </w:rPr>
        <w:t xml:space="preserve">study. </w:t>
      </w:r>
      <w:r w:rsidR="000A3AB6" w:rsidRPr="00B47A38">
        <w:rPr>
          <w:rFonts w:asciiTheme="majorBidi" w:hAnsiTheme="majorBidi" w:cstheme="majorBidi"/>
        </w:rPr>
        <w:t>There</w:t>
      </w:r>
      <w:r w:rsidRPr="00B47A38">
        <w:rPr>
          <w:rFonts w:asciiTheme="majorBidi" w:hAnsiTheme="majorBidi" w:cstheme="majorBidi"/>
        </w:rPr>
        <w:t>, play was found to help stimulate mental imaging which would also improve in noticing and retrieving specific information. In part 8 of the post-test exam, where participants had to answer specific-information questions, participants of the play group performed better than the animation group. The current study lends its support by showing that students improved compared with their pre-test in the play group.</w:t>
      </w:r>
    </w:p>
    <w:p w14:paraId="628E9C72" w14:textId="3C8A0333" w:rsidR="00A64747" w:rsidRPr="00B47A38" w:rsidRDefault="00A64747" w:rsidP="00A64747">
      <w:pPr>
        <w:rPr>
          <w:rFonts w:asciiTheme="majorBidi" w:hAnsiTheme="majorBidi" w:cstheme="majorBidi"/>
        </w:rPr>
      </w:pPr>
      <w:r w:rsidRPr="00B47A38">
        <w:rPr>
          <w:rFonts w:asciiTheme="majorBidi" w:hAnsiTheme="majorBidi" w:cstheme="majorBidi"/>
        </w:rPr>
        <w:t>Accordingly, a number of suggestions for teaching reading comprehension are presented based on the above discussions:</w:t>
      </w:r>
    </w:p>
    <w:p w14:paraId="15A97EE4" w14:textId="570FBD33" w:rsidR="00A64747" w:rsidRPr="00B47A38" w:rsidRDefault="00A64747" w:rsidP="00A64747">
      <w:pPr>
        <w:rPr>
          <w:rFonts w:asciiTheme="majorBidi" w:hAnsiTheme="majorBidi" w:cstheme="majorBidi"/>
        </w:rPr>
      </w:pPr>
      <w:r w:rsidRPr="00B47A38">
        <w:rPr>
          <w:rFonts w:asciiTheme="majorBidi" w:hAnsiTheme="majorBidi" w:cstheme="majorBidi"/>
        </w:rPr>
        <w:t>The results of this study indicate a preference, however minimal, in favor of plays over animations, especially in reading comprehension. it might be helpful for teachers to stimulate students’ background information, or create that in case it is absent, through dramatic arts and plays.</w:t>
      </w:r>
    </w:p>
    <w:p w14:paraId="0DE45143" w14:textId="77F7A587" w:rsidR="00A64747" w:rsidRPr="00B47A38" w:rsidRDefault="00A64747" w:rsidP="00A64747">
      <w:pPr>
        <w:rPr>
          <w:rFonts w:asciiTheme="majorBidi" w:hAnsiTheme="majorBidi" w:cstheme="majorBidi"/>
        </w:rPr>
      </w:pPr>
      <w:r w:rsidRPr="00B47A38">
        <w:rPr>
          <w:rFonts w:asciiTheme="majorBidi" w:hAnsiTheme="majorBidi" w:cstheme="majorBidi"/>
        </w:rPr>
        <w:t>Plays proved to be effective in making students pay more attention to specific information and details. This has implications for material developers. They can include pre-reading exercises that have a tendency toward stimulating human interaction like role plays. These activities will help students fall in line with the intention and gist of the reading and be able to understand it more deeply. They might also shoot videos of plays and include them in the whole package. They will come in handy if students compared plays created by themselves with the ones already in the package. This can not only be a fun activity to reduce the notorious monotony associated with reading lessons but also a way for them to see how different their play was, take mental notes of the difference and be able to look at the reading in ways other than their own.</w:t>
      </w:r>
    </w:p>
    <w:p w14:paraId="72961D8E" w14:textId="7449CC2B" w:rsidR="00A64747" w:rsidRPr="00B47A38" w:rsidRDefault="00A64747" w:rsidP="00A64747">
      <w:pPr>
        <w:rPr>
          <w:rFonts w:asciiTheme="majorBidi" w:hAnsiTheme="majorBidi" w:cstheme="majorBidi"/>
        </w:rPr>
      </w:pPr>
      <w:r w:rsidRPr="00B47A38">
        <w:rPr>
          <w:rFonts w:asciiTheme="majorBidi" w:hAnsiTheme="majorBidi" w:cstheme="majorBidi"/>
        </w:rPr>
        <w:t xml:space="preserve">Another implication of this study has to do with technology. Unlike animations, where the </w:t>
      </w:r>
      <w:r w:rsidR="00A31618" w:rsidRPr="00B47A38">
        <w:rPr>
          <w:rFonts w:asciiTheme="majorBidi" w:hAnsiTheme="majorBidi" w:cstheme="majorBidi"/>
        </w:rPr>
        <w:t>researchers</w:t>
      </w:r>
      <w:r w:rsidRPr="00B47A38">
        <w:rPr>
          <w:rFonts w:asciiTheme="majorBidi" w:hAnsiTheme="majorBidi" w:cstheme="majorBidi"/>
        </w:rPr>
        <w:t xml:space="preserve"> had to spend many hours learning the software to produce animations with, plays demand less technical complications. The current study featured two actors, but plays could have easily been adapted to accommodate only one actor. This means that in order to test different routes and be creative, one does not have to be an aficionado in technology. Technology is not a panacea to every educational challenge. Simple ideas and materials can do the trick as well, if not better, than those that have been created using the newest computer software. As the results of this study demonstrate, a fancier way of creating materials using technology did not prove to be better compared to basic technological necessities available to anyone.  </w:t>
      </w:r>
    </w:p>
    <w:p w14:paraId="4E2A9218" w14:textId="77777777" w:rsidR="00A31618" w:rsidRPr="00B47A38" w:rsidRDefault="00A31618" w:rsidP="00A64747">
      <w:pPr>
        <w:rPr>
          <w:rFonts w:asciiTheme="majorBidi" w:hAnsiTheme="majorBidi" w:cstheme="majorBidi"/>
        </w:rPr>
      </w:pPr>
    </w:p>
    <w:p w14:paraId="0148DFBC" w14:textId="1D2C6990" w:rsidR="00A31618" w:rsidRPr="00B47A38" w:rsidRDefault="00A31618" w:rsidP="00A64747">
      <w:pPr>
        <w:rPr>
          <w:rFonts w:asciiTheme="majorBidi" w:hAnsiTheme="majorBidi" w:cstheme="majorBidi"/>
          <w:b/>
          <w:bCs/>
        </w:rPr>
      </w:pPr>
      <w:r w:rsidRPr="00B47A38">
        <w:rPr>
          <w:rFonts w:asciiTheme="majorBidi" w:hAnsiTheme="majorBidi" w:cstheme="majorBidi"/>
          <w:b/>
          <w:bCs/>
        </w:rPr>
        <w:t>References</w:t>
      </w:r>
    </w:p>
    <w:p w14:paraId="3D0C68DD"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Akbulut</w:t>
      </w:r>
      <w:proofErr w:type="spellEnd"/>
      <w:r w:rsidRPr="00B47A38">
        <w:rPr>
          <w:rFonts w:asciiTheme="majorBidi" w:hAnsiTheme="majorBidi" w:cstheme="majorBidi"/>
        </w:rPr>
        <w:t>, Y. (2008). Predictors of foreign language reading comprehension in a hypermedia reading environment. Journal of Educational Computing Research, 39(1), 37-50.</w:t>
      </w:r>
    </w:p>
    <w:p w14:paraId="201FBB1B" w14:textId="77777777" w:rsidR="00CA39CF" w:rsidRPr="00B47A38" w:rsidRDefault="00CA39CF" w:rsidP="00A64747">
      <w:pPr>
        <w:rPr>
          <w:rFonts w:asciiTheme="majorBidi" w:hAnsiTheme="majorBidi" w:cstheme="majorBidi"/>
        </w:rPr>
      </w:pPr>
      <w:r w:rsidRPr="00B47A38">
        <w:rPr>
          <w:rFonts w:asciiTheme="majorBidi" w:hAnsiTheme="majorBidi" w:cstheme="majorBidi"/>
        </w:rPr>
        <w:t xml:space="preserve">Alemi, M., and </w:t>
      </w:r>
      <w:proofErr w:type="spellStart"/>
      <w:r w:rsidRPr="00B47A38">
        <w:rPr>
          <w:rFonts w:asciiTheme="majorBidi" w:hAnsiTheme="majorBidi" w:cstheme="majorBidi"/>
        </w:rPr>
        <w:t>Ebadi</w:t>
      </w:r>
      <w:proofErr w:type="spellEnd"/>
      <w:r w:rsidRPr="00B47A38">
        <w:rPr>
          <w:rFonts w:asciiTheme="majorBidi" w:hAnsiTheme="majorBidi" w:cstheme="majorBidi"/>
        </w:rPr>
        <w:t>, S. (2010). The Effects of Pre-reading Activities on ESP Reading Comprehension. Journal of Language Teaching and Research, 1(5).</w:t>
      </w:r>
    </w:p>
    <w:p w14:paraId="7C59C5F5" w14:textId="77777777" w:rsidR="00CA39CF" w:rsidRPr="00B47A38" w:rsidRDefault="00CA39CF" w:rsidP="00A64747">
      <w:pPr>
        <w:rPr>
          <w:rFonts w:asciiTheme="majorBidi" w:hAnsiTheme="majorBidi" w:cstheme="majorBidi"/>
        </w:rPr>
      </w:pPr>
      <w:r w:rsidRPr="00B47A38">
        <w:rPr>
          <w:rFonts w:asciiTheme="majorBidi" w:hAnsiTheme="majorBidi" w:cstheme="majorBidi"/>
        </w:rPr>
        <w:t>Anstey, M. M., and Freebody, P. (1987). The Effects of Vocabulary Pre-reading Activities on Children’s Literal and Inferential Comparison. Reading Psychology: An International Quarterly, 8(3), 189-209.</w:t>
      </w:r>
    </w:p>
    <w:p w14:paraId="1B0C4F54" w14:textId="77777777" w:rsidR="00CA39CF" w:rsidRPr="00B47A38" w:rsidRDefault="00CA39CF" w:rsidP="00A64747">
      <w:pPr>
        <w:rPr>
          <w:rFonts w:asciiTheme="majorBidi" w:hAnsiTheme="majorBidi" w:cstheme="majorBidi"/>
        </w:rPr>
      </w:pPr>
      <w:bookmarkStart w:id="13" w:name="_Hlk90915082"/>
      <w:proofErr w:type="spellStart"/>
      <w:r w:rsidRPr="00B47A38">
        <w:rPr>
          <w:rFonts w:asciiTheme="majorBidi" w:hAnsiTheme="majorBidi" w:cstheme="majorBidi"/>
        </w:rPr>
        <w:t>Aydın</w:t>
      </w:r>
      <w:proofErr w:type="spellEnd"/>
      <w:r w:rsidRPr="00B47A38">
        <w:rPr>
          <w:rFonts w:asciiTheme="majorBidi" w:hAnsiTheme="majorBidi" w:cstheme="majorBidi"/>
        </w:rPr>
        <w:t>, B. (2014). A study of sources of foreign language classroom anxiety in speaking and writing classes. Anadolu University (Turkey).</w:t>
      </w:r>
      <w:bookmarkEnd w:id="13"/>
    </w:p>
    <w:p w14:paraId="424BFECA" w14:textId="77777777" w:rsidR="00CA39CF" w:rsidRPr="00B47A38" w:rsidRDefault="00CA39CF" w:rsidP="00A64747">
      <w:pPr>
        <w:rPr>
          <w:rFonts w:asciiTheme="majorBidi" w:hAnsiTheme="majorBidi" w:cstheme="majorBidi"/>
        </w:rPr>
      </w:pPr>
      <w:r w:rsidRPr="00B47A38">
        <w:rPr>
          <w:rFonts w:asciiTheme="majorBidi" w:hAnsiTheme="majorBidi" w:cstheme="majorBidi"/>
        </w:rPr>
        <w:t>Berg, C. K. V. (1993). Managing learner anxiety in literature courses. French review, 27-36.</w:t>
      </w:r>
    </w:p>
    <w:p w14:paraId="787A6AD7"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lastRenderedPageBreak/>
        <w:t>Brevik</w:t>
      </w:r>
      <w:proofErr w:type="spellEnd"/>
      <w:r w:rsidRPr="00B47A38">
        <w:rPr>
          <w:rFonts w:asciiTheme="majorBidi" w:hAnsiTheme="majorBidi" w:cstheme="majorBidi"/>
        </w:rPr>
        <w:t xml:space="preserve">, L.M., Olsen, R.V., and </w:t>
      </w:r>
      <w:proofErr w:type="spellStart"/>
      <w:r w:rsidRPr="00B47A38">
        <w:rPr>
          <w:rFonts w:asciiTheme="majorBidi" w:hAnsiTheme="majorBidi" w:cstheme="majorBidi"/>
        </w:rPr>
        <w:t>Hellekjær</w:t>
      </w:r>
      <w:proofErr w:type="spellEnd"/>
      <w:r w:rsidRPr="00B47A38">
        <w:rPr>
          <w:rFonts w:asciiTheme="majorBidi" w:hAnsiTheme="majorBidi" w:cstheme="majorBidi"/>
        </w:rPr>
        <w:t>, G. (2016). The Complexity of Second Language Reading: Investigating the L1-L2 Relationship. Reading in a foreign language, 28, 161-182.</w:t>
      </w:r>
    </w:p>
    <w:p w14:paraId="0B61A3AF"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Capan</w:t>
      </w:r>
      <w:proofErr w:type="spellEnd"/>
      <w:r w:rsidRPr="00B47A38">
        <w:rPr>
          <w:rFonts w:asciiTheme="majorBidi" w:hAnsiTheme="majorBidi" w:cstheme="majorBidi"/>
        </w:rPr>
        <w:t xml:space="preserve">, S. A., and </w:t>
      </w:r>
      <w:proofErr w:type="spellStart"/>
      <w:r w:rsidRPr="00B47A38">
        <w:rPr>
          <w:rFonts w:asciiTheme="majorBidi" w:hAnsiTheme="majorBidi" w:cstheme="majorBidi"/>
        </w:rPr>
        <w:t>Karaca</w:t>
      </w:r>
      <w:proofErr w:type="spellEnd"/>
      <w:r w:rsidRPr="00B47A38">
        <w:rPr>
          <w:rFonts w:asciiTheme="majorBidi" w:hAnsiTheme="majorBidi" w:cstheme="majorBidi"/>
        </w:rPr>
        <w:t>, M. (2013). A comparative study of listening anxiety and reading anxiety. Procedia-Social and Behavioral Sciences, 70, 1360-1373.</w:t>
      </w:r>
    </w:p>
    <w:p w14:paraId="3BD12181"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Celce</w:t>
      </w:r>
      <w:proofErr w:type="spellEnd"/>
      <w:r w:rsidRPr="00B47A38">
        <w:rPr>
          <w:rFonts w:asciiTheme="majorBidi" w:hAnsiTheme="majorBidi" w:cstheme="majorBidi"/>
        </w:rPr>
        <w:t>-Murcia, M., and McIntosh, L. (1991). Teaching English as a second or foreign language.</w:t>
      </w:r>
    </w:p>
    <w:p w14:paraId="60FF1CCA" w14:textId="77777777" w:rsidR="00CA39CF" w:rsidRPr="00B47A38" w:rsidRDefault="00CA39CF" w:rsidP="00A64747">
      <w:pPr>
        <w:rPr>
          <w:rFonts w:asciiTheme="majorBidi" w:hAnsiTheme="majorBidi" w:cstheme="majorBidi"/>
        </w:rPr>
      </w:pPr>
      <w:r w:rsidRPr="00B47A38">
        <w:rPr>
          <w:rFonts w:asciiTheme="majorBidi" w:hAnsiTheme="majorBidi" w:cstheme="majorBidi"/>
        </w:rPr>
        <w:t>Floyd, P., and Carrell, P. L. (1987). Effects on ESL reading of teaching cultural content schemata. Language learning, 37(1), 89-108.</w:t>
      </w:r>
    </w:p>
    <w:p w14:paraId="360063CD" w14:textId="77777777" w:rsidR="00CA39CF" w:rsidRPr="00B47A38" w:rsidRDefault="00CA39CF" w:rsidP="00A64747">
      <w:pPr>
        <w:rPr>
          <w:rFonts w:asciiTheme="majorBidi" w:hAnsiTheme="majorBidi" w:cstheme="majorBidi"/>
        </w:rPr>
      </w:pPr>
      <w:r w:rsidRPr="00B47A38">
        <w:rPr>
          <w:rFonts w:asciiTheme="majorBidi" w:hAnsiTheme="majorBidi" w:cstheme="majorBidi"/>
        </w:rPr>
        <w:t>Greenall, S. and Swan, M. (1986). Effective Reading. Cambridge: Cambridge University Press.</w:t>
      </w:r>
    </w:p>
    <w:p w14:paraId="480170F6" w14:textId="77777777" w:rsidR="00CA39CF" w:rsidRPr="00B47A38" w:rsidRDefault="00CA39CF" w:rsidP="00A64747">
      <w:pPr>
        <w:rPr>
          <w:rFonts w:asciiTheme="majorBidi" w:hAnsiTheme="majorBidi" w:cstheme="majorBidi"/>
        </w:rPr>
      </w:pPr>
      <w:r w:rsidRPr="00B47A38">
        <w:rPr>
          <w:rFonts w:asciiTheme="majorBidi" w:hAnsiTheme="majorBidi" w:cstheme="majorBidi"/>
        </w:rPr>
        <w:t>Hansen, J. (1981). An inferential comprehension strategy for use with primary grade children. The Reading Teacher, 34(6), 665-669.</w:t>
      </w:r>
    </w:p>
    <w:p w14:paraId="7A575DC3" w14:textId="77777777" w:rsidR="00CA39CF" w:rsidRPr="00B47A38" w:rsidRDefault="00CA39CF" w:rsidP="00A64747">
      <w:pPr>
        <w:rPr>
          <w:rFonts w:asciiTheme="majorBidi" w:hAnsiTheme="majorBidi" w:cstheme="majorBidi"/>
        </w:rPr>
      </w:pPr>
      <w:r w:rsidRPr="00B47A38">
        <w:rPr>
          <w:rFonts w:asciiTheme="majorBidi" w:hAnsiTheme="majorBidi" w:cstheme="majorBidi"/>
        </w:rPr>
        <w:t>Hoyt, L. (1992). Many ways of knowing: Using drama, oral interactions, and the visual arts to enhance reading comprehension. The Reading Teacher, 45(8), 580-584.</w:t>
      </w:r>
    </w:p>
    <w:p w14:paraId="04B4FE3A" w14:textId="77777777" w:rsidR="00CA39CF" w:rsidRPr="00B47A38" w:rsidRDefault="00CA39CF" w:rsidP="00A64747">
      <w:pPr>
        <w:rPr>
          <w:rFonts w:asciiTheme="majorBidi" w:hAnsiTheme="majorBidi" w:cstheme="majorBidi"/>
        </w:rPr>
      </w:pPr>
      <w:r w:rsidRPr="00B47A38">
        <w:rPr>
          <w:rFonts w:asciiTheme="majorBidi" w:hAnsiTheme="majorBidi" w:cstheme="majorBidi"/>
        </w:rPr>
        <w:t>Hudson, T. (1982). The Effects of Induced Schemata on the “Short Circuit” in L2 Reading: Non-decoding Factors in L2 Reading Performance 1. Language learning, 32(1), 1-33.</w:t>
      </w:r>
    </w:p>
    <w:p w14:paraId="2E899844" w14:textId="77777777" w:rsidR="00CA39CF" w:rsidRPr="00B47A38" w:rsidRDefault="00CA39CF" w:rsidP="00A64747">
      <w:pPr>
        <w:rPr>
          <w:rFonts w:asciiTheme="majorBidi" w:hAnsiTheme="majorBidi" w:cstheme="majorBidi"/>
        </w:rPr>
      </w:pPr>
      <w:r w:rsidRPr="00B47A38">
        <w:rPr>
          <w:rFonts w:asciiTheme="majorBidi" w:hAnsiTheme="majorBidi" w:cstheme="majorBidi"/>
        </w:rPr>
        <w:t>Mayer, R. E. (1984). Aids to text comprehension. Educational psychologist, 19(1), 30-42.</w:t>
      </w:r>
    </w:p>
    <w:p w14:paraId="6FA32E16" w14:textId="77777777" w:rsidR="00CA39CF" w:rsidRPr="00B47A38" w:rsidRDefault="00CA39CF" w:rsidP="00A64747">
      <w:pPr>
        <w:rPr>
          <w:rFonts w:asciiTheme="majorBidi" w:hAnsiTheme="majorBidi" w:cstheme="majorBidi"/>
        </w:rPr>
      </w:pPr>
      <w:r w:rsidRPr="00B47A38">
        <w:rPr>
          <w:rFonts w:asciiTheme="majorBidi" w:hAnsiTheme="majorBidi" w:cstheme="majorBidi"/>
        </w:rPr>
        <w:t>McMaster, J. C. (1998). " Doing" literature: Using drama to build literacy. The reading teacher, 51(7), 574-584.</w:t>
      </w:r>
    </w:p>
    <w:p w14:paraId="622BE379" w14:textId="77777777" w:rsidR="00CA39CF" w:rsidRPr="00B47A38" w:rsidRDefault="00CA39CF" w:rsidP="00A64747">
      <w:pPr>
        <w:rPr>
          <w:rFonts w:asciiTheme="majorBidi" w:hAnsiTheme="majorBidi" w:cstheme="majorBidi"/>
        </w:rPr>
      </w:pPr>
      <w:r w:rsidRPr="00B47A38">
        <w:rPr>
          <w:rFonts w:asciiTheme="majorBidi" w:hAnsiTheme="majorBidi" w:cstheme="majorBidi"/>
        </w:rPr>
        <w:t xml:space="preserve">Rajab, A., Zakaria, W. Z. W., Rahman, H. A., Hosni, A. D., and </w:t>
      </w:r>
      <w:proofErr w:type="spellStart"/>
      <w:r w:rsidRPr="00B47A38">
        <w:rPr>
          <w:rFonts w:asciiTheme="majorBidi" w:hAnsiTheme="majorBidi" w:cstheme="majorBidi"/>
        </w:rPr>
        <w:t>Hassani</w:t>
      </w:r>
      <w:proofErr w:type="spellEnd"/>
      <w:r w:rsidRPr="00B47A38">
        <w:rPr>
          <w:rFonts w:asciiTheme="majorBidi" w:hAnsiTheme="majorBidi" w:cstheme="majorBidi"/>
        </w:rPr>
        <w:t>, S. (2012). Reading anxiety among second language learners. Procedia-Social and Behavioral Sciences, 66, 362-369.</w:t>
      </w:r>
    </w:p>
    <w:p w14:paraId="48C27EEF" w14:textId="77777777" w:rsidR="00CA39CF" w:rsidRPr="00B47A38" w:rsidRDefault="00CA39CF" w:rsidP="00A64747">
      <w:pPr>
        <w:rPr>
          <w:rFonts w:asciiTheme="majorBidi" w:hAnsiTheme="majorBidi" w:cstheme="majorBidi"/>
        </w:rPr>
      </w:pPr>
      <w:r w:rsidRPr="00B47A38">
        <w:rPr>
          <w:rFonts w:asciiTheme="majorBidi" w:hAnsiTheme="majorBidi" w:cstheme="majorBidi"/>
        </w:rPr>
        <w:t>Ringler, L. H., and Weber, C. K. (1984). A language-thinking approach to reading: Diagnosis and teaching. Harcourt.</w:t>
      </w:r>
    </w:p>
    <w:p w14:paraId="688C78D4" w14:textId="77777777" w:rsidR="00CA39CF" w:rsidRPr="00B47A38" w:rsidRDefault="00CA39CF" w:rsidP="00A64747">
      <w:pPr>
        <w:rPr>
          <w:rFonts w:asciiTheme="majorBidi" w:hAnsiTheme="majorBidi" w:cstheme="majorBidi"/>
        </w:rPr>
      </w:pPr>
      <w:r w:rsidRPr="00B47A38">
        <w:rPr>
          <w:rFonts w:asciiTheme="majorBidi" w:hAnsiTheme="majorBidi" w:cstheme="majorBidi"/>
        </w:rPr>
        <w:t xml:space="preserve">Rose, D. S., Parks, M., </w:t>
      </w:r>
      <w:proofErr w:type="spellStart"/>
      <w:r w:rsidRPr="00B47A38">
        <w:rPr>
          <w:rFonts w:asciiTheme="majorBidi" w:hAnsiTheme="majorBidi" w:cstheme="majorBidi"/>
        </w:rPr>
        <w:t>Androes</w:t>
      </w:r>
      <w:proofErr w:type="spellEnd"/>
      <w:r w:rsidRPr="00B47A38">
        <w:rPr>
          <w:rFonts w:asciiTheme="majorBidi" w:hAnsiTheme="majorBidi" w:cstheme="majorBidi"/>
        </w:rPr>
        <w:t>, K., and McMahon, S. D. (2000). Imagery-based learning: Improving elementary students' reading comprehension with drama techniques. The Journal of Educational Research, 94(1), 55-63.</w:t>
      </w:r>
    </w:p>
    <w:p w14:paraId="70044D55"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Rumelhart</w:t>
      </w:r>
      <w:proofErr w:type="spellEnd"/>
      <w:r w:rsidRPr="00B47A38">
        <w:rPr>
          <w:rFonts w:asciiTheme="majorBidi" w:hAnsiTheme="majorBidi" w:cstheme="majorBidi"/>
        </w:rPr>
        <w:t xml:space="preserve">, D. E., and </w:t>
      </w:r>
      <w:proofErr w:type="spellStart"/>
      <w:r w:rsidRPr="00B47A38">
        <w:rPr>
          <w:rFonts w:asciiTheme="majorBidi" w:hAnsiTheme="majorBidi" w:cstheme="majorBidi"/>
        </w:rPr>
        <w:t>Ortony</w:t>
      </w:r>
      <w:proofErr w:type="spellEnd"/>
      <w:r w:rsidRPr="00B47A38">
        <w:rPr>
          <w:rFonts w:asciiTheme="majorBidi" w:hAnsiTheme="majorBidi" w:cstheme="majorBidi"/>
        </w:rPr>
        <w:t>, A. (1977). The representation of knowledge in memory. In R. C. Anderson, R. J. Spiro, and W. E. Montague (Eds.), Schooling and the acquisition of knowledge (pp. 99-135).</w:t>
      </w:r>
    </w:p>
    <w:p w14:paraId="70179A6E" w14:textId="77777777" w:rsidR="00CA39CF" w:rsidRPr="00B47A38" w:rsidRDefault="00CA39CF" w:rsidP="00A64747">
      <w:pPr>
        <w:rPr>
          <w:rFonts w:asciiTheme="majorBidi" w:hAnsiTheme="majorBidi" w:cstheme="majorBidi"/>
        </w:rPr>
      </w:pPr>
      <w:r w:rsidRPr="00B47A38">
        <w:rPr>
          <w:rFonts w:asciiTheme="majorBidi" w:hAnsiTheme="majorBidi" w:cstheme="majorBidi"/>
        </w:rPr>
        <w:t>Saito, Y., Garza, T. J., and Horwitz, E. K. (1999). Foreign language reading anxiety. The modern language journal, 83(2), 202-218.</w:t>
      </w:r>
    </w:p>
    <w:p w14:paraId="548C652C" w14:textId="77777777" w:rsidR="00CA39CF" w:rsidRPr="00B47A38" w:rsidRDefault="00CA39CF" w:rsidP="00A64747">
      <w:pPr>
        <w:rPr>
          <w:rFonts w:asciiTheme="majorBidi" w:hAnsiTheme="majorBidi" w:cstheme="majorBidi"/>
        </w:rPr>
      </w:pPr>
      <w:r w:rsidRPr="00B47A38">
        <w:rPr>
          <w:rFonts w:asciiTheme="majorBidi" w:hAnsiTheme="majorBidi" w:cstheme="majorBidi"/>
        </w:rPr>
        <w:t>Sellers, V.D. (2000). Anxiety and reading comprehension in Spanish as a foreign language. Foreign Language Annals, 33, (5), 512‐ 520</w:t>
      </w:r>
    </w:p>
    <w:p w14:paraId="29122287" w14:textId="77777777" w:rsidR="00CA39CF" w:rsidRPr="00B47A38" w:rsidRDefault="00CA39CF" w:rsidP="00A64747">
      <w:pPr>
        <w:rPr>
          <w:rFonts w:asciiTheme="majorBidi" w:hAnsiTheme="majorBidi" w:cstheme="majorBidi"/>
        </w:rPr>
      </w:pPr>
      <w:r w:rsidRPr="00B47A38">
        <w:rPr>
          <w:rFonts w:asciiTheme="majorBidi" w:hAnsiTheme="majorBidi" w:cstheme="majorBidi"/>
        </w:rPr>
        <w:t xml:space="preserve">Spielberger, C. D., Gorsuch, R. L., </w:t>
      </w:r>
      <w:proofErr w:type="spellStart"/>
      <w:r w:rsidRPr="00B47A38">
        <w:rPr>
          <w:rFonts w:asciiTheme="majorBidi" w:hAnsiTheme="majorBidi" w:cstheme="majorBidi"/>
        </w:rPr>
        <w:t>Lushene</w:t>
      </w:r>
      <w:proofErr w:type="spellEnd"/>
      <w:r w:rsidRPr="00B47A38">
        <w:rPr>
          <w:rFonts w:asciiTheme="majorBidi" w:hAnsiTheme="majorBidi" w:cstheme="majorBidi"/>
        </w:rPr>
        <w:t xml:space="preserve">, R. E., </w:t>
      </w:r>
      <w:proofErr w:type="spellStart"/>
      <w:r w:rsidRPr="00B47A38">
        <w:rPr>
          <w:rFonts w:asciiTheme="majorBidi" w:hAnsiTheme="majorBidi" w:cstheme="majorBidi"/>
        </w:rPr>
        <w:t>Vagg</w:t>
      </w:r>
      <w:proofErr w:type="spellEnd"/>
      <w:r w:rsidRPr="00B47A38">
        <w:rPr>
          <w:rFonts w:asciiTheme="majorBidi" w:hAnsiTheme="majorBidi" w:cstheme="majorBidi"/>
        </w:rPr>
        <w:t>, P. R., and Jacobs, G. A. (1983). State-trait anxiety inventory. Palo Alto. CA: Mind Garden.</w:t>
      </w:r>
    </w:p>
    <w:p w14:paraId="37C34AD8"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Swaffar</w:t>
      </w:r>
      <w:proofErr w:type="spellEnd"/>
      <w:r w:rsidRPr="00B47A38">
        <w:rPr>
          <w:rFonts w:asciiTheme="majorBidi" w:hAnsiTheme="majorBidi" w:cstheme="majorBidi"/>
        </w:rPr>
        <w:t xml:space="preserve">, J., &amp; </w:t>
      </w:r>
      <w:proofErr w:type="spellStart"/>
      <w:r w:rsidRPr="00B47A38">
        <w:rPr>
          <w:rFonts w:asciiTheme="majorBidi" w:hAnsiTheme="majorBidi" w:cstheme="majorBidi"/>
        </w:rPr>
        <w:t>Vlatten</w:t>
      </w:r>
      <w:proofErr w:type="spellEnd"/>
      <w:r w:rsidRPr="00B47A38">
        <w:rPr>
          <w:rFonts w:asciiTheme="majorBidi" w:hAnsiTheme="majorBidi" w:cstheme="majorBidi"/>
        </w:rPr>
        <w:t>, A. (1997). A sequential model for video viewing in the foreign language curriculum. The Modern Language Journal, 81(2), 175-188.</w:t>
      </w:r>
    </w:p>
    <w:p w14:paraId="5A1B03FA"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lastRenderedPageBreak/>
        <w:t>Taglieber</w:t>
      </w:r>
      <w:proofErr w:type="spellEnd"/>
      <w:r w:rsidRPr="00B47A38">
        <w:rPr>
          <w:rFonts w:asciiTheme="majorBidi" w:hAnsiTheme="majorBidi" w:cstheme="majorBidi"/>
        </w:rPr>
        <w:t>, L. K., Johnson, L. L., and Yarbrough, D. B. (1988). Effects of preceding activities on EFL reading by Brazilian college students. TESOL quarterly, 22(3), 455-472.</w:t>
      </w:r>
    </w:p>
    <w:p w14:paraId="597480E9" w14:textId="77777777" w:rsidR="00CA39CF" w:rsidRPr="00B47A38" w:rsidRDefault="00CA39CF" w:rsidP="00A64747">
      <w:pPr>
        <w:rPr>
          <w:rFonts w:asciiTheme="majorBidi" w:hAnsiTheme="majorBidi" w:cstheme="majorBidi"/>
        </w:rPr>
      </w:pPr>
      <w:r w:rsidRPr="00B47A38">
        <w:rPr>
          <w:rFonts w:asciiTheme="majorBidi" w:hAnsiTheme="majorBidi" w:cstheme="majorBidi"/>
        </w:rPr>
        <w:t>Tudor, I. (1989). Pre-reading: A categorization of formats. System, 17(3), 323-338.</w:t>
      </w:r>
    </w:p>
    <w:p w14:paraId="6582447B" w14:textId="77777777" w:rsidR="00CA39CF" w:rsidRPr="00B47A38" w:rsidRDefault="00CA39CF" w:rsidP="00A64747">
      <w:pPr>
        <w:rPr>
          <w:rFonts w:asciiTheme="majorBidi" w:hAnsiTheme="majorBidi" w:cstheme="majorBidi"/>
        </w:rPr>
      </w:pPr>
      <w:r w:rsidRPr="00B47A38">
        <w:rPr>
          <w:rFonts w:asciiTheme="majorBidi" w:hAnsiTheme="majorBidi" w:cstheme="majorBidi"/>
        </w:rPr>
        <w:t xml:space="preserve">Wood, E., </w:t>
      </w:r>
      <w:proofErr w:type="spellStart"/>
      <w:r w:rsidRPr="00B47A38">
        <w:rPr>
          <w:rFonts w:asciiTheme="majorBidi" w:hAnsiTheme="majorBidi" w:cstheme="majorBidi"/>
        </w:rPr>
        <w:t>Motz</w:t>
      </w:r>
      <w:proofErr w:type="spellEnd"/>
      <w:r w:rsidRPr="00B47A38">
        <w:rPr>
          <w:rFonts w:asciiTheme="majorBidi" w:hAnsiTheme="majorBidi" w:cstheme="majorBidi"/>
        </w:rPr>
        <w:t>, M., and Willoughby, T. (1998). Examining students' retrospective memories of strategy development. Journal of educational psychology, 90(4), 698.</w:t>
      </w:r>
    </w:p>
    <w:p w14:paraId="518A1AB8" w14:textId="77777777" w:rsidR="00CA39CF" w:rsidRPr="00B47A38" w:rsidRDefault="00CA39CF" w:rsidP="00A64747">
      <w:pPr>
        <w:rPr>
          <w:rFonts w:asciiTheme="majorBidi" w:hAnsiTheme="majorBidi" w:cstheme="majorBidi"/>
        </w:rPr>
      </w:pPr>
      <w:proofErr w:type="spellStart"/>
      <w:r w:rsidRPr="00B47A38">
        <w:rPr>
          <w:rFonts w:asciiTheme="majorBidi" w:hAnsiTheme="majorBidi" w:cstheme="majorBidi"/>
        </w:rPr>
        <w:t>Zbornik</w:t>
      </w:r>
      <w:proofErr w:type="spellEnd"/>
      <w:r w:rsidRPr="00B47A38">
        <w:rPr>
          <w:rFonts w:asciiTheme="majorBidi" w:hAnsiTheme="majorBidi" w:cstheme="majorBidi"/>
        </w:rPr>
        <w:t>, J. (2001). Reading anxiety manifests itself emotionally, intellectually. Today’s School Psychologist.</w:t>
      </w:r>
    </w:p>
    <w:sectPr w:rsidR="00CA39CF" w:rsidRPr="00B47A3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BFB28" w14:textId="77777777" w:rsidR="00AF1767" w:rsidRDefault="00AF1767" w:rsidP="00A70D24">
      <w:pPr>
        <w:spacing w:after="0" w:line="240" w:lineRule="auto"/>
      </w:pPr>
      <w:r>
        <w:separator/>
      </w:r>
    </w:p>
  </w:endnote>
  <w:endnote w:type="continuationSeparator" w:id="0">
    <w:p w14:paraId="74453F1D" w14:textId="77777777" w:rsidR="00AF1767" w:rsidRDefault="00AF1767" w:rsidP="00A70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841056"/>
      <w:docPartObj>
        <w:docPartGallery w:val="Page Numbers (Bottom of Page)"/>
        <w:docPartUnique/>
      </w:docPartObj>
    </w:sdtPr>
    <w:sdtEndPr>
      <w:rPr>
        <w:noProof/>
      </w:rPr>
    </w:sdtEndPr>
    <w:sdtContent>
      <w:p w14:paraId="21C5CBD3" w14:textId="0EFBAB3B" w:rsidR="00A70D24" w:rsidRDefault="00A70D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FE7655" w14:textId="77777777" w:rsidR="00A70D24" w:rsidRDefault="00A70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C487B" w14:textId="77777777" w:rsidR="00AF1767" w:rsidRDefault="00AF1767" w:rsidP="00A70D24">
      <w:pPr>
        <w:spacing w:after="0" w:line="240" w:lineRule="auto"/>
      </w:pPr>
      <w:r>
        <w:separator/>
      </w:r>
    </w:p>
  </w:footnote>
  <w:footnote w:type="continuationSeparator" w:id="0">
    <w:p w14:paraId="15B784F9" w14:textId="77777777" w:rsidR="00AF1767" w:rsidRDefault="00AF1767" w:rsidP="00A70D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C7708"/>
    <w:multiLevelType w:val="hybridMultilevel"/>
    <w:tmpl w:val="203E57C4"/>
    <w:lvl w:ilvl="0" w:tplc="D360A36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82E85"/>
    <w:multiLevelType w:val="hybridMultilevel"/>
    <w:tmpl w:val="A5FC4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456001"/>
    <w:multiLevelType w:val="multilevel"/>
    <w:tmpl w:val="1F6CF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110DCB"/>
    <w:multiLevelType w:val="multilevel"/>
    <w:tmpl w:val="89B69A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ADB443C"/>
    <w:multiLevelType w:val="multilevel"/>
    <w:tmpl w:val="89B69A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426593C"/>
    <w:multiLevelType w:val="multilevel"/>
    <w:tmpl w:val="565ED2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967448A"/>
    <w:multiLevelType w:val="hybridMultilevel"/>
    <w:tmpl w:val="BD7A7F4E"/>
    <w:lvl w:ilvl="0" w:tplc="AF38A9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B59"/>
    <w:rsid w:val="00027D34"/>
    <w:rsid w:val="000A3AB6"/>
    <w:rsid w:val="000A5B59"/>
    <w:rsid w:val="000D162E"/>
    <w:rsid w:val="001F462E"/>
    <w:rsid w:val="002407CA"/>
    <w:rsid w:val="003E3FE5"/>
    <w:rsid w:val="00525ED8"/>
    <w:rsid w:val="00692E88"/>
    <w:rsid w:val="007B2067"/>
    <w:rsid w:val="008C081A"/>
    <w:rsid w:val="00996EE0"/>
    <w:rsid w:val="00A31618"/>
    <w:rsid w:val="00A44A85"/>
    <w:rsid w:val="00A57693"/>
    <w:rsid w:val="00A64747"/>
    <w:rsid w:val="00A70D24"/>
    <w:rsid w:val="00AF1767"/>
    <w:rsid w:val="00B47A38"/>
    <w:rsid w:val="00B853B4"/>
    <w:rsid w:val="00B937BD"/>
    <w:rsid w:val="00CA39CF"/>
    <w:rsid w:val="00CB0C54"/>
    <w:rsid w:val="00CB3015"/>
    <w:rsid w:val="00D06A05"/>
    <w:rsid w:val="00E26E8B"/>
    <w:rsid w:val="00E66C56"/>
    <w:rsid w:val="00E92508"/>
    <w:rsid w:val="00F428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FF0A"/>
  <w15:chartTrackingRefBased/>
  <w15:docId w15:val="{2341E9D6-F671-42C7-8638-4DBD9D9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62E"/>
    <w:pPr>
      <w:ind w:left="720"/>
      <w:contextualSpacing/>
    </w:pPr>
  </w:style>
  <w:style w:type="table" w:styleId="TableGrid">
    <w:name w:val="Table Grid"/>
    <w:basedOn w:val="TableNormal"/>
    <w:uiPriority w:val="39"/>
    <w:rsid w:val="00B85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basedOn w:val="TOC3"/>
    <w:qFormat/>
    <w:rsid w:val="00CB3015"/>
    <w:pPr>
      <w:tabs>
        <w:tab w:val="right" w:pos="8630"/>
      </w:tabs>
      <w:spacing w:after="0" w:line="240" w:lineRule="auto"/>
      <w:ind w:left="0"/>
    </w:pPr>
    <w:rPr>
      <w:rFonts w:asciiTheme="majorHAnsi" w:eastAsia="Times New Roman" w:hAnsiTheme="majorHAnsi" w:cs="Times New Roman"/>
      <w:smallCaps/>
    </w:rPr>
  </w:style>
  <w:style w:type="paragraph" w:styleId="TOC3">
    <w:name w:val="toc 3"/>
    <w:basedOn w:val="Normal"/>
    <w:next w:val="Normal"/>
    <w:autoRedefine/>
    <w:uiPriority w:val="39"/>
    <w:semiHidden/>
    <w:unhideWhenUsed/>
    <w:rsid w:val="00CB3015"/>
    <w:pPr>
      <w:spacing w:after="100"/>
      <w:ind w:left="440"/>
    </w:pPr>
  </w:style>
  <w:style w:type="paragraph" w:styleId="NormalWeb">
    <w:name w:val="Normal (Web)"/>
    <w:basedOn w:val="Normal"/>
    <w:uiPriority w:val="99"/>
    <w:unhideWhenUsed/>
    <w:rsid w:val="00B937B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937BD"/>
    <w:rPr>
      <w:i/>
      <w:iCs/>
    </w:rPr>
  </w:style>
  <w:style w:type="paragraph" w:styleId="Header">
    <w:name w:val="header"/>
    <w:basedOn w:val="Normal"/>
    <w:link w:val="HeaderChar"/>
    <w:uiPriority w:val="99"/>
    <w:unhideWhenUsed/>
    <w:rsid w:val="00B937BD"/>
    <w:pPr>
      <w:tabs>
        <w:tab w:val="center" w:pos="4680"/>
        <w:tab w:val="right" w:pos="9360"/>
      </w:tabs>
      <w:spacing w:after="0" w:line="240" w:lineRule="auto"/>
      <w:ind w:firstLine="720"/>
    </w:pPr>
  </w:style>
  <w:style w:type="character" w:customStyle="1" w:styleId="HeaderChar">
    <w:name w:val="Header Char"/>
    <w:basedOn w:val="DefaultParagraphFont"/>
    <w:link w:val="Header"/>
    <w:uiPriority w:val="99"/>
    <w:rsid w:val="00B937BD"/>
  </w:style>
  <w:style w:type="paragraph" w:styleId="Footer">
    <w:name w:val="footer"/>
    <w:basedOn w:val="Normal"/>
    <w:link w:val="FooterChar"/>
    <w:uiPriority w:val="99"/>
    <w:unhideWhenUsed/>
    <w:rsid w:val="00B937BD"/>
    <w:pPr>
      <w:tabs>
        <w:tab w:val="center" w:pos="4680"/>
        <w:tab w:val="right" w:pos="9360"/>
      </w:tabs>
      <w:spacing w:after="0" w:line="240" w:lineRule="auto"/>
      <w:ind w:firstLine="720"/>
    </w:pPr>
  </w:style>
  <w:style w:type="character" w:customStyle="1" w:styleId="FooterChar">
    <w:name w:val="Footer Char"/>
    <w:basedOn w:val="DefaultParagraphFont"/>
    <w:link w:val="Footer"/>
    <w:uiPriority w:val="99"/>
    <w:rsid w:val="00B937BD"/>
  </w:style>
  <w:style w:type="character" w:customStyle="1" w:styleId="freebirdformviewercomponentsquestionbaserequiredasterisk">
    <w:name w:val="freebirdformviewercomponentsquestionbaserequiredasterisk"/>
    <w:basedOn w:val="DefaultParagraphFont"/>
    <w:rsid w:val="00B937BD"/>
  </w:style>
  <w:style w:type="paragraph" w:customStyle="1" w:styleId="TOCTitle">
    <w:name w:val="TOC Title"/>
    <w:basedOn w:val="Normal"/>
    <w:qFormat/>
    <w:rsid w:val="00B937BD"/>
    <w:pPr>
      <w:spacing w:after="0" w:line="240" w:lineRule="auto"/>
      <w:jc w:val="center"/>
    </w:pPr>
    <w:rPr>
      <w:rFonts w:asciiTheme="majorHAnsi" w:eastAsia="Times New Roman" w:hAnsiTheme="majorHAnsi" w:cs="Times New Roman"/>
      <w:b/>
      <w:sz w:val="24"/>
      <w:szCs w:val="24"/>
    </w:rPr>
  </w:style>
  <w:style w:type="paragraph" w:customStyle="1" w:styleId="Level1">
    <w:name w:val="Level 1"/>
    <w:basedOn w:val="TOC1"/>
    <w:qFormat/>
    <w:rsid w:val="00B937BD"/>
    <w:pPr>
      <w:tabs>
        <w:tab w:val="right" w:pos="8630"/>
      </w:tabs>
      <w:spacing w:before="360" w:after="360" w:line="240" w:lineRule="auto"/>
      <w:ind w:firstLine="0"/>
    </w:pPr>
    <w:rPr>
      <w:rFonts w:asciiTheme="majorHAnsi" w:eastAsia="Times New Roman" w:hAnsiTheme="majorHAnsi" w:cs="Times New Roman"/>
      <w:b/>
      <w:bCs/>
      <w:caps/>
      <w:u w:val="single"/>
    </w:rPr>
  </w:style>
  <w:style w:type="paragraph" w:customStyle="1" w:styleId="Level2">
    <w:name w:val="Level 2"/>
    <w:basedOn w:val="TOC2"/>
    <w:qFormat/>
    <w:rsid w:val="00B937BD"/>
    <w:pPr>
      <w:tabs>
        <w:tab w:val="right" w:pos="8630"/>
      </w:tabs>
      <w:spacing w:after="0" w:line="240" w:lineRule="auto"/>
      <w:ind w:left="0" w:firstLine="0"/>
    </w:pPr>
    <w:rPr>
      <w:rFonts w:asciiTheme="majorHAnsi" w:eastAsia="Times New Roman" w:hAnsiTheme="majorHAnsi" w:cs="Times New Roman"/>
      <w:b/>
      <w:bCs/>
      <w:smallCaps/>
    </w:rPr>
  </w:style>
  <w:style w:type="paragraph" w:styleId="TOC1">
    <w:name w:val="toc 1"/>
    <w:basedOn w:val="Normal"/>
    <w:next w:val="Normal"/>
    <w:autoRedefine/>
    <w:uiPriority w:val="39"/>
    <w:semiHidden/>
    <w:unhideWhenUsed/>
    <w:rsid w:val="00B937BD"/>
    <w:pPr>
      <w:spacing w:after="100"/>
      <w:ind w:firstLine="720"/>
    </w:pPr>
  </w:style>
  <w:style w:type="paragraph" w:styleId="TOC2">
    <w:name w:val="toc 2"/>
    <w:basedOn w:val="Normal"/>
    <w:next w:val="Normal"/>
    <w:autoRedefine/>
    <w:uiPriority w:val="39"/>
    <w:semiHidden/>
    <w:unhideWhenUsed/>
    <w:rsid w:val="00B937BD"/>
    <w:pPr>
      <w:spacing w:after="100"/>
      <w:ind w:left="220" w:firstLine="720"/>
    </w:pPr>
  </w:style>
  <w:style w:type="paragraph" w:styleId="NoSpacing">
    <w:name w:val="No Spacing"/>
    <w:uiPriority w:val="1"/>
    <w:qFormat/>
    <w:rsid w:val="00B937BD"/>
    <w:pPr>
      <w:spacing w:after="0" w:line="240" w:lineRule="auto"/>
    </w:pPr>
  </w:style>
  <w:style w:type="character" w:styleId="Hyperlink">
    <w:name w:val="Hyperlink"/>
    <w:basedOn w:val="DefaultParagraphFont"/>
    <w:uiPriority w:val="99"/>
    <w:unhideWhenUsed/>
    <w:rsid w:val="00B47A38"/>
    <w:rPr>
      <w:color w:val="0563C1" w:themeColor="hyperlink"/>
      <w:u w:val="single"/>
    </w:rPr>
  </w:style>
  <w:style w:type="character" w:styleId="UnresolvedMention">
    <w:name w:val="Unresolved Mention"/>
    <w:basedOn w:val="DefaultParagraphFont"/>
    <w:uiPriority w:val="99"/>
    <w:semiHidden/>
    <w:unhideWhenUsed/>
    <w:rsid w:val="00B47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ochemeshki74@gmail.com" TargetMode="External"/><Relationship Id="rId3" Type="http://schemas.openxmlformats.org/officeDocument/2006/relationships/settings" Target="settings.xml"/><Relationship Id="rId7" Type="http://schemas.openxmlformats.org/officeDocument/2006/relationships/hyperlink" Target="mailto:nejatireza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12</Pages>
  <Words>4680</Words>
  <Characters>26681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mostafathunder@yahoo.com</dc:creator>
  <cp:keywords/>
  <dc:description/>
  <cp:lastModifiedBy>mostafathunder@yahoo.com</cp:lastModifiedBy>
  <cp:revision>8</cp:revision>
  <dcterms:created xsi:type="dcterms:W3CDTF">2021-12-20T11:32:00Z</dcterms:created>
  <dcterms:modified xsi:type="dcterms:W3CDTF">2021-12-21T09:17:00Z</dcterms:modified>
</cp:coreProperties>
</file>