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474"/>
        <w:bidiVisual/>
        <w:tblW w:w="8819" w:type="dxa"/>
        <w:tblLayout w:type="fixed"/>
        <w:tblLook w:val="04A0" w:firstRow="1" w:lastRow="0" w:firstColumn="1" w:lastColumn="0" w:noHBand="0" w:noVBand="1"/>
      </w:tblPr>
      <w:tblGrid>
        <w:gridCol w:w="8819"/>
      </w:tblGrid>
      <w:tr w:rsidR="003F7EC2" w:rsidRPr="000C0656" w:rsidTr="00FD5853">
        <w:trPr>
          <w:trHeight w:val="2267"/>
        </w:trPr>
        <w:tc>
          <w:tcPr>
            <w:tcW w:w="8819" w:type="dxa"/>
            <w:shd w:val="clear" w:color="auto" w:fill="D9D9D9"/>
          </w:tcPr>
          <w:p w:rsidR="006E3C9B" w:rsidRDefault="006E3C9B" w:rsidP="006E3C9B">
            <w:pPr>
              <w:bidi w:val="0"/>
              <w:spacing w:after="120"/>
              <w:jc w:val="center"/>
              <w:rPr>
                <w:rFonts w:cs="Times New Roman"/>
                <w:b/>
                <w:bCs/>
                <w:sz w:val="32"/>
                <w:szCs w:val="32"/>
              </w:rPr>
            </w:pPr>
            <w:r w:rsidRPr="00DE76A0">
              <w:rPr>
                <w:rFonts w:cs="Times New Roman"/>
                <w:b/>
                <w:bCs/>
                <w:sz w:val="32"/>
                <w:szCs w:val="32"/>
              </w:rPr>
              <w:t>Sustainable Product Design and Development: A Concept of Applications, Approach Based On A Review Of Tools, Connotation, Measurement And Assessment</w:t>
            </w:r>
          </w:p>
          <w:p w:rsidR="00453FE1" w:rsidRPr="00B12BDF" w:rsidRDefault="00B12BDF" w:rsidP="00B12BDF">
            <w:pPr>
              <w:bidi w:val="0"/>
              <w:spacing w:before="120" w:after="120"/>
              <w:jc w:val="center"/>
              <w:rPr>
                <w:rFonts w:cs="B Nazanin"/>
                <w:b/>
                <w:bCs/>
                <w:sz w:val="20"/>
                <w:lang w:bidi="fa-IR"/>
              </w:rPr>
            </w:pPr>
            <w:r w:rsidRPr="00B12BDF">
              <w:rPr>
                <w:rFonts w:cs="B Nazanin"/>
                <w:b/>
                <w:bCs/>
                <w:sz w:val="20"/>
                <w:lang w:bidi="fa-IR"/>
              </w:rPr>
              <w:t xml:space="preserve">Lida </w:t>
            </w:r>
            <w:r w:rsidRPr="00B12BDF">
              <w:rPr>
                <w:rFonts w:cs="B Nazanin"/>
                <w:b/>
                <w:bCs/>
                <w:sz w:val="20"/>
                <w:lang w:bidi="fa-IR"/>
              </w:rPr>
              <w:t>M</w:t>
            </w:r>
            <w:r w:rsidRPr="00B12BDF">
              <w:rPr>
                <w:rFonts w:cs="B Nazanin"/>
                <w:b/>
                <w:bCs/>
                <w:sz w:val="20"/>
                <w:lang w:bidi="fa-IR"/>
              </w:rPr>
              <w:t>osallanejad</w:t>
            </w:r>
            <w:r w:rsidR="00453FE1" w:rsidRPr="00B63FC3">
              <w:t xml:space="preserve"> </w:t>
            </w:r>
            <w:r w:rsidR="00453FE1" w:rsidRPr="00B63FC3">
              <w:rPr>
                <w:vertAlign w:val="superscript"/>
              </w:rPr>
              <w:t>1</w:t>
            </w:r>
            <w:r w:rsidR="00453FE1" w:rsidRPr="00B63FC3">
              <w:t xml:space="preserve">, </w:t>
            </w:r>
            <w:r w:rsidRPr="00B12BDF">
              <w:rPr>
                <w:rFonts w:cs="B Nazanin"/>
                <w:b/>
                <w:bCs/>
                <w:sz w:val="20"/>
                <w:lang w:bidi="fa-IR"/>
              </w:rPr>
              <w:t>Mohammad Amin Sadeghi</w:t>
            </w:r>
            <w:r w:rsidR="00453FE1" w:rsidRPr="00B63FC3">
              <w:t xml:space="preserve"> </w:t>
            </w:r>
            <w:r w:rsidR="00453FE1" w:rsidRPr="00B63FC3">
              <w:rPr>
                <w:vertAlign w:val="superscript"/>
              </w:rPr>
              <w:t>2</w:t>
            </w:r>
          </w:p>
          <w:p w:rsidR="00453FE1" w:rsidRPr="00BD296A" w:rsidRDefault="00BD296A" w:rsidP="00BD296A">
            <w:pPr>
              <w:pStyle w:val="AffiliationsEnglish"/>
              <w:framePr w:hSpace="0" w:wrap="auto" w:vAnchor="margin" w:hAnchor="text" w:yAlign="inline"/>
            </w:pPr>
            <w:r w:rsidRPr="00BD296A">
              <w:t>Department of architecture Engineering, Andisheh, Institute of Higher Education, Jahrom, Iran</w:t>
            </w:r>
          </w:p>
          <w:p w:rsidR="003F7EC2" w:rsidRPr="000C0656" w:rsidRDefault="00BD296A" w:rsidP="00C01B70">
            <w:pPr>
              <w:pStyle w:val="AffiliationsEnglish"/>
              <w:framePr w:hSpace="0" w:wrap="auto" w:vAnchor="margin" w:hAnchor="text" w:yAlign="inline"/>
              <w:rPr>
                <w:rFonts w:cs="B Nazanin" w:hint="cs"/>
                <w:b/>
                <w:bCs/>
                <w:color w:val="000000"/>
                <w:sz w:val="16"/>
                <w:szCs w:val="16"/>
                <w:rtl/>
              </w:rPr>
            </w:pPr>
            <w:r w:rsidRPr="00BD296A">
              <w:t>Young Researchers and Elite Club, Jahrom Branch, Islamic Azad University, Jahrom, Iran</w:t>
            </w:r>
          </w:p>
        </w:tc>
      </w:tr>
      <w:tr w:rsidR="003F7EC2" w:rsidRPr="000C0656" w:rsidTr="00FD5853">
        <w:tc>
          <w:tcPr>
            <w:tcW w:w="8819" w:type="dxa"/>
            <w:shd w:val="clear" w:color="auto" w:fill="FFFFFF"/>
          </w:tcPr>
          <w:p w:rsidR="003F7EC2" w:rsidRPr="00B63FC3" w:rsidRDefault="003F7EC2" w:rsidP="00C01B70">
            <w:pPr>
              <w:pStyle w:val="AffiliationsEnglish"/>
              <w:framePr w:hSpace="0" w:wrap="auto" w:vAnchor="margin" w:hAnchor="text" w:yAlign="inline"/>
              <w:numPr>
                <w:ilvl w:val="0"/>
                <w:numId w:val="0"/>
              </w:numPr>
              <w:jc w:val="both"/>
            </w:pPr>
          </w:p>
        </w:tc>
      </w:tr>
      <w:tr w:rsidR="003F7EC2" w:rsidRPr="000C0656" w:rsidTr="00FD5853">
        <w:trPr>
          <w:trHeight w:val="80"/>
        </w:trPr>
        <w:tc>
          <w:tcPr>
            <w:tcW w:w="8819" w:type="dxa"/>
            <w:shd w:val="clear" w:color="auto" w:fill="FFFFFF"/>
          </w:tcPr>
          <w:p w:rsidR="003F7EC2" w:rsidRPr="000C0656" w:rsidRDefault="003F7EC2" w:rsidP="00453FE1">
            <w:pPr>
              <w:bidi w:val="0"/>
              <w:ind w:firstLine="0"/>
              <w:rPr>
                <w:rFonts w:ascii="Calibri" w:hAnsi="Calibri" w:cs="B Nazanin"/>
                <w:color w:val="000000"/>
                <w:sz w:val="18"/>
                <w:szCs w:val="18"/>
                <w:vertAlign w:val="superscript"/>
              </w:rPr>
            </w:pPr>
          </w:p>
        </w:tc>
      </w:tr>
      <w:tr w:rsidR="003F7EC2" w:rsidRPr="000C0656" w:rsidTr="00FD5853">
        <w:trPr>
          <w:trHeight w:val="80"/>
        </w:trPr>
        <w:tc>
          <w:tcPr>
            <w:tcW w:w="8819" w:type="dxa"/>
            <w:shd w:val="clear" w:color="auto" w:fill="D9D9D9"/>
          </w:tcPr>
          <w:p w:rsidR="003F7EC2" w:rsidRPr="00453FE1" w:rsidRDefault="0034061F" w:rsidP="00453FE1">
            <w:pPr>
              <w:pStyle w:val="Footer"/>
              <w:tabs>
                <w:tab w:val="clear" w:pos="8640"/>
                <w:tab w:val="right" w:pos="8788"/>
              </w:tabs>
              <w:spacing w:line="216" w:lineRule="auto"/>
              <w:ind w:firstLine="0"/>
              <w:jc w:val="center"/>
              <w:rPr>
                <w:rFonts w:hint="cs"/>
                <w:sz w:val="18"/>
                <w:szCs w:val="22"/>
                <w:rtl/>
                <w:lang w:bidi="fa-IR"/>
              </w:rPr>
            </w:pPr>
            <w:r w:rsidRPr="00453FE1">
              <w:rPr>
                <w:sz w:val="18"/>
                <w:szCs w:val="22"/>
              </w:rPr>
              <w:t>*Corresponding Author:</w:t>
            </w:r>
            <w:r w:rsidR="00653A02" w:rsidRPr="00453FE1">
              <w:rPr>
                <w:sz w:val="18"/>
                <w:szCs w:val="22"/>
                <w:lang w:bidi="fa-IR"/>
              </w:rPr>
              <w:t xml:space="preserve"> </w:t>
            </w:r>
            <w:r w:rsidR="00453FE1" w:rsidRPr="00453FE1">
              <w:rPr>
                <w:sz w:val="18"/>
                <w:szCs w:val="22"/>
                <w:lang w:bidi="fa-IR"/>
              </w:rPr>
              <w:t xml:space="preserve"> </w:t>
            </w:r>
            <w:r w:rsidR="00172BE3">
              <w:rPr>
                <w:rFonts w:cs="Times New Roman"/>
                <w:i/>
                <w:iCs/>
              </w:rPr>
              <w:t xml:space="preserve"> </w:t>
            </w:r>
            <w:r w:rsidR="00172BE3" w:rsidRPr="00172BE3">
              <w:rPr>
                <w:rFonts w:cs="Times New Roman"/>
                <w:sz w:val="18"/>
                <w:szCs w:val="20"/>
              </w:rPr>
              <w:t>lidamosalanejad@gmail.com</w:t>
            </w:r>
          </w:p>
        </w:tc>
      </w:tr>
    </w:tbl>
    <w:p w:rsidR="00453FE1" w:rsidRDefault="00453FE1" w:rsidP="00453FE1">
      <w:pPr>
        <w:pStyle w:val="Chekideh"/>
        <w:bidi w:val="0"/>
        <w:ind w:firstLine="0"/>
        <w:rPr>
          <w:rFonts w:cs="B Nazanin"/>
          <w:b/>
          <w:bCs/>
          <w:color w:val="000000"/>
          <w:sz w:val="18"/>
        </w:rPr>
      </w:pPr>
    </w:p>
    <w:p w:rsidR="00453FE1" w:rsidRDefault="00453FE1" w:rsidP="00453FE1">
      <w:pPr>
        <w:pStyle w:val="Chekideh"/>
        <w:bidi w:val="0"/>
        <w:ind w:firstLine="0"/>
        <w:rPr>
          <w:rFonts w:cs="B Nazanin"/>
          <w:b/>
          <w:bCs/>
          <w:color w:val="000000"/>
          <w:sz w:val="18"/>
        </w:rPr>
      </w:pPr>
    </w:p>
    <w:p w:rsidR="00453FE1" w:rsidRDefault="00453FE1" w:rsidP="00453FE1">
      <w:pPr>
        <w:pStyle w:val="Chekideh"/>
        <w:bidi w:val="0"/>
        <w:ind w:firstLine="0"/>
        <w:rPr>
          <w:rFonts w:cs="B Nazanin"/>
          <w:b/>
          <w:bCs/>
          <w:color w:val="000000"/>
          <w:sz w:val="18"/>
        </w:rPr>
      </w:pPr>
    </w:p>
    <w:p w:rsidR="00453FE1" w:rsidRDefault="00453FE1" w:rsidP="00453FE1">
      <w:pPr>
        <w:pStyle w:val="Chekideh"/>
        <w:bidi w:val="0"/>
        <w:ind w:firstLine="0"/>
        <w:rPr>
          <w:rFonts w:cs="B Nazanin"/>
          <w:b/>
          <w:bCs/>
          <w:color w:val="000000"/>
          <w:sz w:val="22"/>
          <w:szCs w:val="22"/>
        </w:rPr>
      </w:pPr>
    </w:p>
    <w:p w:rsidR="003F7EC2" w:rsidRPr="006A7B20" w:rsidRDefault="003F7EC2" w:rsidP="006A7B20">
      <w:pPr>
        <w:pStyle w:val="Chekideh"/>
        <w:bidi w:val="0"/>
        <w:ind w:right="850" w:firstLine="0"/>
        <w:rPr>
          <w:rFonts w:cs="B Nazanin"/>
          <w:sz w:val="22"/>
          <w:szCs w:val="22"/>
          <w:rtl/>
        </w:rPr>
      </w:pPr>
      <w:r w:rsidRPr="006A7B20">
        <w:rPr>
          <w:rFonts w:cs="B Nazanin"/>
          <w:b/>
          <w:bCs/>
          <w:color w:val="000000"/>
          <w:sz w:val="24"/>
          <w:szCs w:val="24"/>
        </w:rPr>
        <w:t>Abstract</w:t>
      </w:r>
      <w:r w:rsidRPr="006A7B20">
        <w:rPr>
          <w:rFonts w:cs="B Nazanin"/>
          <w:b/>
          <w:bCs/>
          <w:color w:val="000000"/>
          <w:sz w:val="28"/>
          <w:szCs w:val="28"/>
        </w:rPr>
        <w:t xml:space="preserve"> </w:t>
      </w:r>
      <w:r w:rsidRPr="006A7B20">
        <w:rPr>
          <w:rFonts w:cs="B Nazanin"/>
          <w:b/>
          <w:bCs/>
          <w:color w:val="000000"/>
          <w:sz w:val="24"/>
          <w:szCs w:val="24"/>
        </w:rPr>
        <w:t xml:space="preserve"> </w:t>
      </w:r>
    </w:p>
    <w:p w:rsidR="003F7EC2" w:rsidRPr="000C0656" w:rsidRDefault="003F7EC2" w:rsidP="00453FE1">
      <w:pPr>
        <w:pStyle w:val="Chekideh"/>
        <w:ind w:left="851" w:right="850" w:firstLine="0"/>
        <w:rPr>
          <w:rFonts w:cs="B Nazanin"/>
          <w:sz w:val="6"/>
          <w:szCs w:val="8"/>
          <w:rtl/>
        </w:rPr>
      </w:pPr>
    </w:p>
    <w:p w:rsidR="00015FC4" w:rsidRPr="005960FA" w:rsidRDefault="005960FA" w:rsidP="005960FA">
      <w:pPr>
        <w:bidi w:val="0"/>
        <w:spacing w:before="120" w:after="120"/>
        <w:ind w:firstLine="720"/>
        <w:rPr>
          <w:rFonts w:cs="Times New Roman"/>
          <w:sz w:val="24"/>
        </w:rPr>
      </w:pPr>
      <w:r w:rsidRPr="003B5BF7">
        <w:rPr>
          <w:rFonts w:cs="Times New Roman"/>
          <w:sz w:val="24"/>
        </w:rPr>
        <w:t>In recent years, the concept of sustainability has become a common interest of many disciplines. The reason for this popularity is sustainable development. The concept of "sustainability" was first defined by the Broadland report, released in 1989 by the United Nations World Commission on Environment and Development, at the center of various studies and approaches. Sustainable buildings are called smart buildings, or green buildings with advanced control and automation systems. For this type of building design, stakeholders such as architects, engineers, landscape architects, product manufacturers, energy consultants, project managers, building users and local managers work together. Sustainable development requires that development patterns that meet the needs of the current generation do not harm the needs of the next generation. Sustainable development requires not only the sustainability of natural resources and the environment but also the emphasis on sustainable human welfare and the welfare of residents. Sustainable urban development is easily achieved on a local scale. Urban Sustainable Development Efficiency (USDE) represents the well-being and productivity of human resources and the input of the environment into an urban system. This paper presents a framework for evaluating sustainable urban development based on the reality of natural resource constraints and human welfare needs, and aims to highlight these difficult and complex sustainable issues that encompass almost every aspect of human life.</w:t>
      </w:r>
    </w:p>
    <w:p w:rsidR="00453FE1" w:rsidRDefault="00453FE1" w:rsidP="00453FE1">
      <w:pPr>
        <w:pStyle w:val="Chekideh"/>
        <w:bidi w:val="0"/>
        <w:ind w:left="851" w:right="850" w:firstLine="0"/>
        <w:rPr>
          <w:rFonts w:cs="B Nazanin"/>
          <w:b/>
          <w:bCs/>
          <w:sz w:val="20"/>
          <w:szCs w:val="20"/>
        </w:rPr>
      </w:pPr>
    </w:p>
    <w:p w:rsidR="006A7B20" w:rsidRDefault="003F7EC2" w:rsidP="00791048">
      <w:pPr>
        <w:pStyle w:val="Chekideh"/>
        <w:bidi w:val="0"/>
        <w:ind w:right="-1" w:firstLine="0"/>
        <w:rPr>
          <w:rFonts w:cs="B Nazanin"/>
          <w:b/>
          <w:bCs/>
          <w:sz w:val="20"/>
          <w:szCs w:val="20"/>
        </w:rPr>
      </w:pPr>
      <w:r w:rsidRPr="006A7B20">
        <w:rPr>
          <w:rFonts w:cs="B Nazanin"/>
          <w:b/>
          <w:bCs/>
          <w:sz w:val="24"/>
          <w:szCs w:val="24"/>
        </w:rPr>
        <w:t>Keywords</w:t>
      </w:r>
      <w:r w:rsidRPr="006A7B20">
        <w:rPr>
          <w:rFonts w:cs="B Nazanin" w:hint="cs"/>
          <w:b/>
          <w:bCs/>
          <w:sz w:val="24"/>
          <w:szCs w:val="24"/>
          <w:rtl/>
        </w:rPr>
        <w:t>:</w:t>
      </w:r>
    </w:p>
    <w:p w:rsidR="00453FE1" w:rsidRDefault="00FD60FC" w:rsidP="006A7B20">
      <w:pPr>
        <w:pStyle w:val="Chekideh"/>
        <w:bidi w:val="0"/>
        <w:ind w:right="-1" w:firstLine="0"/>
        <w:rPr>
          <w:rFonts w:cs="B Nazanin"/>
          <w:b/>
          <w:bCs/>
          <w:sz w:val="20"/>
          <w:szCs w:val="20"/>
        </w:rPr>
      </w:pPr>
      <w:r w:rsidRPr="00FD60FC">
        <w:rPr>
          <w:rFonts w:cs="Times New Roman"/>
          <w:sz w:val="24"/>
          <w:szCs w:val="28"/>
        </w:rPr>
        <w:t>Sustainable product design, Sustainable Development, Urban sustainable development efficiency (USDE),  Construction Industry, Innovation</w:t>
      </w:r>
      <w:r>
        <w:rPr>
          <w:rFonts w:cs="Times New Roman"/>
          <w:sz w:val="24"/>
          <w:szCs w:val="28"/>
        </w:rPr>
        <w:t>.</w:t>
      </w:r>
    </w:p>
    <w:p w:rsidR="00791048" w:rsidRPr="00791048" w:rsidRDefault="00791048" w:rsidP="00791048">
      <w:pPr>
        <w:pStyle w:val="Chekideh"/>
        <w:bidi w:val="0"/>
        <w:ind w:right="-1" w:firstLine="0"/>
        <w:rPr>
          <w:rFonts w:cs="B Nazanin"/>
          <w:b/>
          <w:bCs/>
          <w:sz w:val="20"/>
          <w:szCs w:val="20"/>
        </w:rPr>
      </w:pPr>
    </w:p>
    <w:p w:rsidR="00453FE1" w:rsidRDefault="00453FE1" w:rsidP="00453FE1">
      <w:pPr>
        <w:tabs>
          <w:tab w:val="left" w:pos="24"/>
        </w:tabs>
        <w:bidi w:val="0"/>
        <w:spacing w:line="260" w:lineRule="exact"/>
        <w:rPr>
          <w:b/>
          <w:sz w:val="24"/>
          <w:szCs w:val="18"/>
        </w:rPr>
      </w:pPr>
      <w:r w:rsidRPr="00BC0491">
        <w:rPr>
          <w:b/>
          <w:sz w:val="24"/>
          <w:szCs w:val="18"/>
        </w:rPr>
        <w:t>Introduction</w:t>
      </w:r>
    </w:p>
    <w:p w:rsidR="00EF191F" w:rsidRPr="006A7B20" w:rsidRDefault="00EF191F" w:rsidP="00EF191F">
      <w:pPr>
        <w:bidi w:val="0"/>
        <w:spacing w:before="120" w:after="120"/>
        <w:ind w:firstLine="720"/>
        <w:rPr>
          <w:rFonts w:cs="Times New Roman"/>
          <w:szCs w:val="22"/>
        </w:rPr>
      </w:pPr>
      <w:r w:rsidRPr="006A7B20">
        <w:rPr>
          <w:rFonts w:cs="Times New Roman"/>
          <w:szCs w:val="22"/>
        </w:rPr>
        <w:t>Sustainability is comprehensive. It is vital to everyone because it preserves the survival of human species and almost every living thing on Earth. Sustainable and environmentally friendly architecture is one of the main goals that people have for creating a better life as the ultimate role model for all their activities. For this reason, moving towards a greener architecture, the main goal of our current architecture, we think (</w:t>
      </w:r>
      <w:proofErr w:type="spellStart"/>
      <w:r w:rsidRPr="006A7B20">
        <w:rPr>
          <w:rFonts w:cs="Times New Roman"/>
          <w:szCs w:val="22"/>
        </w:rPr>
        <w:t>Mahdavi</w:t>
      </w:r>
      <w:proofErr w:type="spellEnd"/>
      <w:r w:rsidRPr="006A7B20">
        <w:rPr>
          <w:rFonts w:cs="Times New Roman"/>
          <w:szCs w:val="22"/>
        </w:rPr>
        <w:t xml:space="preserve"> </w:t>
      </w:r>
      <w:proofErr w:type="spellStart"/>
      <w:r w:rsidRPr="006A7B20">
        <w:rPr>
          <w:rFonts w:cs="Times New Roman"/>
          <w:szCs w:val="22"/>
        </w:rPr>
        <w:t>Nejad</w:t>
      </w:r>
      <w:proofErr w:type="spellEnd"/>
      <w:r w:rsidRPr="006A7B20">
        <w:rPr>
          <w:rFonts w:cs="Times New Roman"/>
          <w:szCs w:val="22"/>
        </w:rPr>
        <w:t xml:space="preserve">, 2014), regularly uses the scarce resources available on earth to meet the development needs of this world. Unless there are major changes in human thinking and behavior, the future of civilization as it is known today is in doubt. This complex issue has no direct solution, especially given that sustainability is a goal for everyone because they are constantly striving to achieve it. Green architecture provides environmental, social and economic benefits. Environmentally, green architecture helps reduce pollution, conserve natural resources, and prevent environmental degradation. Unexpected urbanization as a result of industrialization has led to </w:t>
      </w:r>
      <w:r w:rsidRPr="006A7B20">
        <w:rPr>
          <w:rFonts w:cs="Times New Roman"/>
          <w:szCs w:val="22"/>
        </w:rPr>
        <w:lastRenderedPageBreak/>
        <w:t xml:space="preserve">a gradual decline in the level of green farms, an increase in the need for energy per capita, the consumption of limited natural resources unconsciously, and the intense use of oil resources. Concerns about the rapid consumption of natural resources to meet human needs and slow down and even halt community growth and economic growth are the result of this failure. One day, for the first time in the </w:t>
      </w:r>
      <w:proofErr w:type="spellStart"/>
      <w:r w:rsidRPr="006A7B20">
        <w:rPr>
          <w:rFonts w:cs="Times New Roman"/>
          <w:szCs w:val="22"/>
        </w:rPr>
        <w:t>Brundtland</w:t>
      </w:r>
      <w:proofErr w:type="spellEnd"/>
      <w:r w:rsidRPr="006A7B20">
        <w:rPr>
          <w:rFonts w:cs="Times New Roman"/>
          <w:szCs w:val="22"/>
        </w:rPr>
        <w:t xml:space="preserve"> Report (WCED, 1989) in 1989, the current issue is raised for the first time. Although doubts have been raised in the years since publication, today governments, institutions, organizations, the business world, NGOs, etc. are concerned about the fact that natural resources are scarce and human life in the world is at risk. Have consensus. The concept of sustainability that can be defined as "meeting the needs and expectations of the present without fulfilling the risks of future generations to meet their needs and expectations" is shared in the </w:t>
      </w:r>
      <w:proofErr w:type="spellStart"/>
      <w:r w:rsidRPr="006A7B20">
        <w:rPr>
          <w:rFonts w:cs="Times New Roman"/>
          <w:szCs w:val="22"/>
        </w:rPr>
        <w:t>Brundtland</w:t>
      </w:r>
      <w:proofErr w:type="spellEnd"/>
      <w:r w:rsidRPr="006A7B20">
        <w:rPr>
          <w:rFonts w:cs="Times New Roman"/>
          <w:szCs w:val="22"/>
        </w:rPr>
        <w:t xml:space="preserve"> Report (WCED, 1989), Proposed Solutions Issuer Has been.</w:t>
      </w:r>
    </w:p>
    <w:p w:rsidR="00EF191F" w:rsidRPr="006A7B20" w:rsidRDefault="00EF191F" w:rsidP="00EF191F">
      <w:pPr>
        <w:bidi w:val="0"/>
        <w:spacing w:before="120" w:after="120"/>
        <w:ind w:firstLine="720"/>
        <w:rPr>
          <w:rFonts w:cs="Times New Roman"/>
          <w:szCs w:val="22"/>
        </w:rPr>
      </w:pPr>
      <w:r w:rsidRPr="006A7B20">
        <w:rPr>
          <w:rFonts w:cs="Times New Roman"/>
          <w:szCs w:val="22"/>
        </w:rPr>
        <w:t xml:space="preserve">Urbanization is the predominant form of global social and economic development (Young, 2012; Boone and </w:t>
      </w:r>
      <w:proofErr w:type="spellStart"/>
      <w:r w:rsidRPr="006A7B20">
        <w:rPr>
          <w:rFonts w:cs="Times New Roman"/>
          <w:szCs w:val="22"/>
        </w:rPr>
        <w:t>Fragkias</w:t>
      </w:r>
      <w:proofErr w:type="spellEnd"/>
      <w:r w:rsidRPr="006A7B20">
        <w:rPr>
          <w:rFonts w:cs="Times New Roman"/>
          <w:szCs w:val="22"/>
        </w:rPr>
        <w:t>, 2013). Cities have a growing population, high human activity, high demand for environmental and environmental services, and a concentration of consumption and resource consumption (Xing et al., 2009; Murray &amp; Christodoulou, 2012). Citation also provides human goods and services and thus provides human welfare effectively. However, such a high concentration of development causes urban diseases that challenge sustainable urban development. Many researchers believe that sustainable development can easily be achieved locally as local sustainable development, for example by highlighting cities as complex ecosystems, sustainable economic and economic development, relatively more efficient use of natural resources and less biodiversity. . Ensure an environment. Pollution (</w:t>
      </w:r>
      <w:proofErr w:type="spellStart"/>
      <w:r w:rsidRPr="006A7B20">
        <w:rPr>
          <w:rFonts w:cs="Times New Roman"/>
          <w:szCs w:val="22"/>
        </w:rPr>
        <w:t>Bogiarloo</w:t>
      </w:r>
      <w:proofErr w:type="spellEnd"/>
      <w:r w:rsidRPr="006A7B20">
        <w:rPr>
          <w:rFonts w:cs="Times New Roman"/>
          <w:szCs w:val="22"/>
        </w:rPr>
        <w:t>, 2004; Holden et al., 2008). Sustainable urban development is a practice for sustainable development at the local scale (</w:t>
      </w:r>
      <w:proofErr w:type="spellStart"/>
      <w:r w:rsidRPr="006A7B20">
        <w:rPr>
          <w:rFonts w:cs="Times New Roman"/>
          <w:szCs w:val="22"/>
        </w:rPr>
        <w:t>Opschoor</w:t>
      </w:r>
      <w:proofErr w:type="spellEnd"/>
      <w:r w:rsidRPr="006A7B20">
        <w:rPr>
          <w:rFonts w:cs="Times New Roman"/>
          <w:szCs w:val="22"/>
        </w:rPr>
        <w:t>, 2011), including considerations and methods of sustainable urban development such as sustainable natural resources, sustainable protection of urban systems from environmental hazards, and improved quality of urban life (Cui et al. , 2010; Yang and Yin, 2010). Sustainable Urban Development provides urban ecosystem services that provide sustainable human welfare to its residents and improve their well-being (Zhao et al., 2009; Sustainable Urban Research Group, 2013). Sustainable urban development requires the use of sustainable resources and the capacity to support the environment (McLaren, 1996). In addition, urban systems require sufficient goods and services. These can be termed most human welfare requirements that can be divided into economic, social, environmental, and environmental components (</w:t>
      </w:r>
      <w:proofErr w:type="spellStart"/>
      <w:r w:rsidRPr="006A7B20">
        <w:rPr>
          <w:rFonts w:cs="Times New Roman"/>
          <w:szCs w:val="22"/>
        </w:rPr>
        <w:t>Alberti</w:t>
      </w:r>
      <w:proofErr w:type="spellEnd"/>
      <w:r w:rsidRPr="006A7B20">
        <w:rPr>
          <w:rFonts w:cs="Times New Roman"/>
          <w:szCs w:val="22"/>
        </w:rPr>
        <w:t xml:space="preserve">, 1996; Lee et al., 2007; </w:t>
      </w:r>
      <w:proofErr w:type="spellStart"/>
      <w:r w:rsidRPr="006A7B20">
        <w:rPr>
          <w:rFonts w:cs="Times New Roman"/>
          <w:szCs w:val="22"/>
        </w:rPr>
        <w:t>Masnavi</w:t>
      </w:r>
      <w:proofErr w:type="spellEnd"/>
      <w:r w:rsidRPr="006A7B20">
        <w:rPr>
          <w:rFonts w:cs="Times New Roman"/>
          <w:szCs w:val="22"/>
        </w:rPr>
        <w:t>, 2007).</w:t>
      </w:r>
    </w:p>
    <w:p w:rsidR="00EF191F" w:rsidRPr="009518A1" w:rsidRDefault="00EF191F" w:rsidP="00EF191F">
      <w:pPr>
        <w:bidi w:val="0"/>
        <w:spacing w:before="120" w:after="120"/>
        <w:rPr>
          <w:rFonts w:asciiTheme="majorBidi" w:hAnsiTheme="majorBidi" w:cstheme="majorBidi"/>
          <w:b/>
          <w:bCs/>
          <w:sz w:val="24"/>
        </w:rPr>
      </w:pPr>
      <w:r w:rsidRPr="009518A1">
        <w:rPr>
          <w:rFonts w:asciiTheme="majorBidi" w:hAnsiTheme="majorBidi" w:cstheme="majorBidi"/>
          <w:b/>
          <w:bCs/>
          <w:sz w:val="24"/>
        </w:rPr>
        <w:t>2. General background and concepts</w:t>
      </w:r>
    </w:p>
    <w:p w:rsidR="00EF191F" w:rsidRPr="009518A1" w:rsidRDefault="00EF191F" w:rsidP="00EF191F">
      <w:pPr>
        <w:bidi w:val="0"/>
        <w:spacing w:before="120" w:after="120"/>
        <w:rPr>
          <w:rFonts w:asciiTheme="majorBidi" w:hAnsiTheme="majorBidi" w:cstheme="majorBidi"/>
          <w:b/>
          <w:bCs/>
          <w:szCs w:val="22"/>
        </w:rPr>
      </w:pPr>
      <w:r w:rsidRPr="009518A1">
        <w:rPr>
          <w:rFonts w:asciiTheme="majorBidi" w:hAnsiTheme="majorBidi" w:cstheme="majorBidi"/>
          <w:b/>
          <w:bCs/>
          <w:szCs w:val="22"/>
        </w:rPr>
        <w:t>2.1. Sustainability</w:t>
      </w:r>
    </w:p>
    <w:p w:rsidR="00EF191F" w:rsidRPr="006A7B20" w:rsidRDefault="00EF191F" w:rsidP="00EF191F">
      <w:pPr>
        <w:bidi w:val="0"/>
        <w:spacing w:before="120" w:after="120"/>
        <w:ind w:firstLine="720"/>
        <w:rPr>
          <w:rFonts w:asciiTheme="majorBidi" w:hAnsiTheme="majorBidi" w:cstheme="majorBidi"/>
          <w:szCs w:val="22"/>
        </w:rPr>
      </w:pPr>
      <w:r w:rsidRPr="006A7B20">
        <w:rPr>
          <w:rFonts w:asciiTheme="majorBidi" w:hAnsiTheme="majorBidi" w:cstheme="majorBidi"/>
          <w:szCs w:val="22"/>
        </w:rPr>
        <w:t>In general, sustainability means using natural resources in such equilibrium conditions that are not irreversible and pass on to future generations as they progress. In this context, sustainability seems to be a conceptual brand in every context, from global development policy to the use of energy resources and from production planning to architectural design (</w:t>
      </w:r>
      <w:proofErr w:type="spellStart"/>
      <w:r w:rsidRPr="006A7B20">
        <w:rPr>
          <w:rFonts w:asciiTheme="majorBidi" w:hAnsiTheme="majorBidi" w:cstheme="majorBidi"/>
          <w:szCs w:val="22"/>
        </w:rPr>
        <w:t>Hoskara</w:t>
      </w:r>
      <w:proofErr w:type="spellEnd"/>
      <w:r w:rsidRPr="006A7B20">
        <w:rPr>
          <w:rFonts w:asciiTheme="majorBidi" w:hAnsiTheme="majorBidi" w:cstheme="majorBidi"/>
          <w:szCs w:val="22"/>
        </w:rPr>
        <w:t>, 2007) in our time.</w:t>
      </w:r>
    </w:p>
    <w:p w:rsidR="00EF191F" w:rsidRPr="006A7B20" w:rsidRDefault="00EF191F" w:rsidP="00EF191F">
      <w:pPr>
        <w:bidi w:val="0"/>
        <w:spacing w:before="120" w:after="120"/>
        <w:rPr>
          <w:rFonts w:asciiTheme="majorBidi" w:hAnsiTheme="majorBidi" w:cstheme="majorBidi"/>
          <w:szCs w:val="22"/>
        </w:rPr>
      </w:pPr>
      <w:r w:rsidRPr="006A7B20">
        <w:rPr>
          <w:rFonts w:asciiTheme="majorBidi" w:hAnsiTheme="majorBidi" w:cstheme="majorBidi"/>
          <w:szCs w:val="22"/>
        </w:rPr>
        <w:t>Sustainability our goal is to build future generations in the next century by preserving the environment and taking care of the intermingling of human and natural resources (</w:t>
      </w:r>
      <w:proofErr w:type="spellStart"/>
      <w:r w:rsidRPr="006A7B20">
        <w:rPr>
          <w:rFonts w:asciiTheme="majorBidi" w:hAnsiTheme="majorBidi" w:cstheme="majorBidi"/>
          <w:szCs w:val="22"/>
        </w:rPr>
        <w:t>Oswo</w:t>
      </w:r>
      <w:proofErr w:type="spellEnd"/>
      <w:r w:rsidRPr="006A7B20">
        <w:rPr>
          <w:rFonts w:asciiTheme="majorBidi" w:hAnsiTheme="majorBidi" w:cstheme="majorBidi"/>
          <w:szCs w:val="22"/>
        </w:rPr>
        <w:t xml:space="preserve"> et al., 1996). At the same time, sustainability is a multidimensional system that aims to improve the quality of life for all by improving the living conditions of disadvantaged people, creating valuable links between individuals through strengthening cooperation and social benefits, and reforming the economy. From these natural resources (</w:t>
      </w:r>
      <w:proofErr w:type="spellStart"/>
      <w:r w:rsidRPr="006A7B20">
        <w:rPr>
          <w:rFonts w:asciiTheme="majorBidi" w:hAnsiTheme="majorBidi" w:cstheme="majorBidi"/>
          <w:szCs w:val="22"/>
        </w:rPr>
        <w:t>Hoskara</w:t>
      </w:r>
      <w:proofErr w:type="spellEnd"/>
      <w:r w:rsidRPr="006A7B20">
        <w:rPr>
          <w:rFonts w:asciiTheme="majorBidi" w:hAnsiTheme="majorBidi" w:cstheme="majorBidi"/>
          <w:szCs w:val="22"/>
        </w:rPr>
        <w:t xml:space="preserve">, 2007; </w:t>
      </w:r>
      <w:proofErr w:type="spellStart"/>
      <w:r w:rsidRPr="006A7B20">
        <w:rPr>
          <w:rFonts w:asciiTheme="majorBidi" w:hAnsiTheme="majorBidi" w:cstheme="majorBidi"/>
          <w:szCs w:val="22"/>
        </w:rPr>
        <w:t>Octai</w:t>
      </w:r>
      <w:proofErr w:type="spellEnd"/>
      <w:r w:rsidRPr="006A7B20">
        <w:rPr>
          <w:rFonts w:asciiTheme="majorBidi" w:hAnsiTheme="majorBidi" w:cstheme="majorBidi"/>
          <w:szCs w:val="22"/>
        </w:rPr>
        <w:t>, 2005). This concept is basically aimed at balancing man, time and place. In other words, the fair allocation of global resources among all nations, living things and future generations.</w:t>
      </w:r>
    </w:p>
    <w:p w:rsidR="00EF191F" w:rsidRPr="006A7B20" w:rsidRDefault="00EF191F" w:rsidP="00EF191F">
      <w:pPr>
        <w:bidi w:val="0"/>
        <w:spacing w:before="120" w:after="120"/>
        <w:ind w:firstLine="720"/>
        <w:rPr>
          <w:rFonts w:asciiTheme="majorBidi" w:hAnsiTheme="majorBidi" w:cstheme="majorBidi"/>
          <w:szCs w:val="22"/>
        </w:rPr>
      </w:pPr>
      <w:r w:rsidRPr="006A7B20">
        <w:rPr>
          <w:rFonts w:asciiTheme="majorBidi" w:hAnsiTheme="majorBidi" w:cstheme="majorBidi"/>
          <w:szCs w:val="22"/>
        </w:rPr>
        <w:t xml:space="preserve">In fact, sustainability predicts development by changing only eating habits without compromising our current quality of life. Sustainability in this development is also linked to global solidarity and democratic and equitable allocation. In other words, through the Sustainable Development Model, it is suggested that society be excluded from consumer society, total development, environmental management, social responsibility and economic solutions. From this perspective, it can be stated that sustainability has three main dimensions / components: </w:t>
      </w:r>
      <w:r w:rsidRPr="006A7B20">
        <w:rPr>
          <w:rFonts w:asciiTheme="majorBidi" w:hAnsiTheme="majorBidi" w:cstheme="majorBidi"/>
          <w:szCs w:val="22"/>
        </w:rPr>
        <w:lastRenderedPageBreak/>
        <w:t>environmental, economic and social. The interaction between effective sustainability parameters such as environmental protection, economic progress and social exposure is shown in Figure 1.</w:t>
      </w:r>
    </w:p>
    <w:p w:rsidR="00EF191F" w:rsidRDefault="009518A1" w:rsidP="00EF191F">
      <w:pPr>
        <w:bidi w:val="0"/>
        <w:rPr>
          <w:rFonts w:asciiTheme="majorBidi" w:hAnsiTheme="majorBidi" w:cstheme="majorBidi"/>
          <w:sz w:val="24"/>
        </w:rPr>
      </w:pPr>
      <w:r>
        <w:rPr>
          <w:rFonts w:asciiTheme="majorBidi" w:hAnsiTheme="majorBidi" w:cstheme="majorBidi"/>
          <w:noProof/>
          <w:sz w:val="24"/>
        </w:rPr>
        <mc:AlternateContent>
          <mc:Choice Requires="wps">
            <w:drawing>
              <wp:anchor distT="0" distB="0" distL="114300" distR="114300" simplePos="0" relativeHeight="251660288" behindDoc="0" locked="0" layoutInCell="1" allowOverlap="1" wp14:anchorId="0D37FCE0" wp14:editId="37ECDEDD">
                <wp:simplePos x="0" y="0"/>
                <wp:positionH relativeFrom="column">
                  <wp:posOffset>2807970</wp:posOffset>
                </wp:positionH>
                <wp:positionV relativeFrom="paragraph">
                  <wp:posOffset>1409065</wp:posOffset>
                </wp:positionV>
                <wp:extent cx="888365" cy="393065"/>
                <wp:effectExtent l="0" t="0" r="0" b="6985"/>
                <wp:wrapNone/>
                <wp:docPr id="3" name="Text Box 3"/>
                <wp:cNvGraphicFramePr/>
                <a:graphic xmlns:a="http://schemas.openxmlformats.org/drawingml/2006/main">
                  <a:graphicData uri="http://schemas.microsoft.com/office/word/2010/wordprocessingShape">
                    <wps:wsp>
                      <wps:cNvSpPr txBox="1"/>
                      <wps:spPr>
                        <a:xfrm>
                          <a:off x="0" y="0"/>
                          <a:ext cx="888365" cy="393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F191F" w:rsidRPr="00606AC4" w:rsidRDefault="00EF191F" w:rsidP="00EF191F">
                            <w:pPr>
                              <w:bidi w:val="0"/>
                              <w:rPr>
                                <w:rFonts w:asciiTheme="majorBidi" w:hAnsiTheme="majorBidi" w:cstheme="majorBidi"/>
                                <w:sz w:val="20"/>
                                <w:szCs w:val="20"/>
                              </w:rPr>
                            </w:pPr>
                            <w:r w:rsidRPr="00606AC4">
                              <w:rPr>
                                <w:rFonts w:asciiTheme="majorBidi" w:hAnsiTheme="majorBidi" w:cstheme="majorBidi"/>
                                <w:sz w:val="20"/>
                                <w:szCs w:val="20"/>
                              </w:rPr>
                              <w:t>Equitable</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221.1pt;margin-top:110.95pt;width:69.95pt;height:30.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" filled="f" stroked="f" strokeweight=".5pt">
                <v:textbox>
                  <w:txbxContent>
                    <w:p w:rsidR="00EF191F" w:rsidRPr="00606AC4" w:rsidRDefault="00EF191F" w:rsidP="00EF191F">
                      <w:pPr>
                        <w:bidi w:val="0"/>
                        <w:rPr>
                          <w:rFonts w:asciiTheme="majorBidi" w:hAnsiTheme="majorBidi" w:cstheme="majorBidi"/>
                          <w:sz w:val="20"/>
                          <w:szCs w:val="20"/>
                        </w:rPr>
                      </w:pPr>
                      <w:r w:rsidRPr="00606AC4">
                        <w:rPr>
                          <w:rFonts w:asciiTheme="majorBidi" w:hAnsiTheme="majorBidi" w:cstheme="majorBidi"/>
                          <w:sz w:val="20"/>
                          <w:szCs w:val="20"/>
                        </w:rPr>
                        <w:t>Equitable</w:t>
                      </w:r>
                    </w:p>
                  </w:txbxContent>
                </v:textbox>
              </v:shape>
            </w:pict>
          </mc:Fallback>
        </mc:AlternateContent>
      </w:r>
      <w:r>
        <w:rPr>
          <w:rFonts w:asciiTheme="majorBidi" w:hAnsiTheme="majorBidi" w:cstheme="majorBidi"/>
          <w:noProof/>
          <w:sz w:val="24"/>
        </w:rPr>
        <mc:AlternateContent>
          <mc:Choice Requires="wps">
            <w:drawing>
              <wp:anchor distT="0" distB="0" distL="114300" distR="114300" simplePos="0" relativeHeight="251659264" behindDoc="0" locked="0" layoutInCell="1" allowOverlap="1" wp14:anchorId="51045840" wp14:editId="2EBA7A40">
                <wp:simplePos x="0" y="0"/>
                <wp:positionH relativeFrom="column">
                  <wp:posOffset>1850390</wp:posOffset>
                </wp:positionH>
                <wp:positionV relativeFrom="paragraph">
                  <wp:posOffset>1409065</wp:posOffset>
                </wp:positionV>
                <wp:extent cx="854710" cy="393065"/>
                <wp:effectExtent l="0" t="0" r="0" b="6985"/>
                <wp:wrapNone/>
                <wp:docPr id="2" name="Text Box 2"/>
                <wp:cNvGraphicFramePr/>
                <a:graphic xmlns:a="http://schemas.openxmlformats.org/drawingml/2006/main">
                  <a:graphicData uri="http://schemas.microsoft.com/office/word/2010/wordprocessingShape">
                    <wps:wsp>
                      <wps:cNvSpPr txBox="1"/>
                      <wps:spPr>
                        <a:xfrm>
                          <a:off x="0" y="0"/>
                          <a:ext cx="854710" cy="393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F191F" w:rsidRPr="00606AC4" w:rsidRDefault="00EF191F" w:rsidP="00EF191F">
                            <w:pPr>
                              <w:bidi w:val="0"/>
                              <w:rPr>
                                <w:rFonts w:cs="Times New Roman"/>
                                <w:sz w:val="20"/>
                                <w:szCs w:val="20"/>
                              </w:rPr>
                            </w:pPr>
                            <w:proofErr w:type="spellStart"/>
                            <w:r w:rsidRPr="00606AC4">
                              <w:rPr>
                                <w:rFonts w:cs="Times New Roman"/>
                                <w:sz w:val="20"/>
                                <w:szCs w:val="20"/>
                              </w:rPr>
                              <w:t>Liveable</w:t>
                            </w:r>
                            <w:proofErr w:type="spellEnd"/>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2" o:spid="_x0000_s1027" type="#_x0000_t202" style="position:absolute;left:0;text-align:left;margin-left:145.7pt;margin-top:110.95pt;width:67.3pt;height:30.9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" filled="f" stroked="f" strokeweight=".5pt">
                <v:textbox>
                  <w:txbxContent>
                    <w:p w:rsidR="00EF191F" w:rsidRPr="00606AC4" w:rsidRDefault="00EF191F" w:rsidP="00EF191F">
                      <w:pPr>
                        <w:bidi w:val="0"/>
                        <w:rPr>
                          <w:rFonts w:cs="Times New Roman"/>
                          <w:sz w:val="20"/>
                          <w:szCs w:val="20"/>
                        </w:rPr>
                      </w:pPr>
                      <w:proofErr w:type="spellStart"/>
                      <w:r w:rsidRPr="00606AC4">
                        <w:rPr>
                          <w:rFonts w:cs="Times New Roman"/>
                          <w:sz w:val="20"/>
                          <w:szCs w:val="20"/>
                        </w:rPr>
                        <w:t>Liveable</w:t>
                      </w:r>
                      <w:proofErr w:type="spellEnd"/>
                    </w:p>
                  </w:txbxContent>
                </v:textbox>
              </v:shape>
            </w:pict>
          </mc:Fallback>
        </mc:AlternateContent>
      </w:r>
      <w:r>
        <w:rPr>
          <w:rFonts w:asciiTheme="majorBidi" w:hAnsiTheme="majorBidi" w:cstheme="majorBidi"/>
          <w:noProof/>
          <w:sz w:val="24"/>
        </w:rPr>
        <mc:AlternateContent>
          <mc:Choice Requires="wps">
            <w:drawing>
              <wp:anchor distT="0" distB="0" distL="114300" distR="114300" simplePos="0" relativeHeight="251661312" behindDoc="0" locked="0" layoutInCell="1" allowOverlap="1" wp14:anchorId="42F0AB69" wp14:editId="25ECC3E5">
                <wp:simplePos x="0" y="0"/>
                <wp:positionH relativeFrom="column">
                  <wp:posOffset>2574985</wp:posOffset>
                </wp:positionH>
                <wp:positionV relativeFrom="paragraph">
                  <wp:posOffset>2239645</wp:posOffset>
                </wp:positionV>
                <wp:extent cx="760095" cy="393065"/>
                <wp:effectExtent l="0" t="0" r="0" b="6985"/>
                <wp:wrapNone/>
                <wp:docPr id="4" name="Text Box 4"/>
                <wp:cNvGraphicFramePr/>
                <a:graphic xmlns:a="http://schemas.openxmlformats.org/drawingml/2006/main">
                  <a:graphicData uri="http://schemas.microsoft.com/office/word/2010/wordprocessingShape">
                    <wps:wsp>
                      <wps:cNvSpPr txBox="1"/>
                      <wps:spPr>
                        <a:xfrm>
                          <a:off x="0" y="0"/>
                          <a:ext cx="760095" cy="393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F191F" w:rsidRPr="007955A3" w:rsidRDefault="00EF191F" w:rsidP="009518A1">
                            <w:pPr>
                              <w:bidi w:val="0"/>
                              <w:ind w:firstLine="0"/>
                              <w:rPr>
                                <w:rFonts w:cs="Times New Roman"/>
                                <w:sz w:val="20"/>
                                <w:szCs w:val="20"/>
                              </w:rPr>
                            </w:pPr>
                            <w:r w:rsidRPr="007955A3">
                              <w:rPr>
                                <w:rFonts w:cs="Times New Roman"/>
                                <w:sz w:val="20"/>
                                <w:szCs w:val="20"/>
                              </w:rPr>
                              <w:t>Feasible</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4" o:spid="_x0000_s1028" type="#_x0000_t202" style="position:absolute;left:0;text-align:left;margin-left:202.75pt;margin-top:176.35pt;width:59.85pt;height:30.9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" filled="f" stroked="f" strokeweight=".5pt">
                <v:textbox>
                  <w:txbxContent>
                    <w:p w:rsidR="00EF191F" w:rsidRPr="007955A3" w:rsidRDefault="00EF191F" w:rsidP="009518A1">
                      <w:pPr>
                        <w:bidi w:val="0"/>
                        <w:ind w:firstLine="0"/>
                        <w:rPr>
                          <w:rFonts w:cs="Times New Roman"/>
                          <w:sz w:val="20"/>
                          <w:szCs w:val="20"/>
                        </w:rPr>
                      </w:pPr>
                      <w:r w:rsidRPr="007955A3">
                        <w:rPr>
                          <w:rFonts w:cs="Times New Roman"/>
                          <w:sz w:val="20"/>
                          <w:szCs w:val="20"/>
                        </w:rPr>
                        <w:t>Feasible</w:t>
                      </w:r>
                    </w:p>
                  </w:txbxContent>
                </v:textbox>
              </v:shape>
            </w:pict>
          </mc:Fallback>
        </mc:AlternateContent>
      </w:r>
      <w:r w:rsidR="00162901">
        <w:rPr>
          <w:rFonts w:asciiTheme="majorBidi" w:hAnsiTheme="majorBidi" w:cstheme="majorBidi"/>
          <w:noProof/>
          <w:sz w:val="24"/>
        </w:rPr>
        <mc:AlternateContent>
          <mc:Choice Requires="wps">
            <w:drawing>
              <wp:anchor distT="0" distB="0" distL="114300" distR="114300" simplePos="0" relativeHeight="251662336" behindDoc="0" locked="0" layoutInCell="1" allowOverlap="1" wp14:anchorId="0723FF7D" wp14:editId="0B0D02FB">
                <wp:simplePos x="0" y="0"/>
                <wp:positionH relativeFrom="column">
                  <wp:posOffset>2513330</wp:posOffset>
                </wp:positionH>
                <wp:positionV relativeFrom="paragraph">
                  <wp:posOffset>1802130</wp:posOffset>
                </wp:positionV>
                <wp:extent cx="895350" cy="209550"/>
                <wp:effectExtent l="0" t="0" r="0" b="0"/>
                <wp:wrapNone/>
                <wp:docPr id="6" name="Text Box 6"/>
                <wp:cNvGraphicFramePr/>
                <a:graphic xmlns:a="http://schemas.openxmlformats.org/drawingml/2006/main">
                  <a:graphicData uri="http://schemas.microsoft.com/office/word/2010/wordprocessingShape">
                    <wps:wsp>
                      <wps:cNvSpPr txBox="1"/>
                      <wps:spPr>
                        <a:xfrm>
                          <a:off x="0" y="0"/>
                          <a:ext cx="895350" cy="209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F191F" w:rsidRPr="00981ADF" w:rsidRDefault="00EF191F" w:rsidP="00EF191F">
                            <w:pPr>
                              <w:rPr>
                                <w:sz w:val="20"/>
                                <w:szCs w:val="20"/>
                              </w:rPr>
                            </w:pPr>
                            <w:r w:rsidRPr="00981ADF">
                              <w:rPr>
                                <w:rFonts w:asciiTheme="majorBidi" w:hAnsiTheme="majorBidi" w:cstheme="majorBidi"/>
                                <w:sz w:val="18"/>
                                <w:szCs w:val="18"/>
                              </w:rPr>
                              <w:t>Sustainability</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 o:spid="_x0000_s1029" type="#_x0000_t202" style="position:absolute;left:0;text-align:left;margin-left:197.9pt;margin-top:141.9pt;width:70.5pt;height:1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" filled="f" stroked="f" strokeweight=".5pt">
                <v:textbox>
                  <w:txbxContent>
                    <w:p w:rsidR="00EF191F" w:rsidRPr="00981ADF" w:rsidRDefault="00EF191F" w:rsidP="00EF191F">
                      <w:pPr>
                        <w:rPr>
                          <w:sz w:val="20"/>
                          <w:szCs w:val="20"/>
                        </w:rPr>
                      </w:pPr>
                      <w:r w:rsidRPr="00981ADF">
                        <w:rPr>
                          <w:rFonts w:asciiTheme="majorBidi" w:hAnsiTheme="majorBidi" w:cstheme="majorBidi"/>
                          <w:sz w:val="18"/>
                          <w:szCs w:val="18"/>
                        </w:rPr>
                        <w:t>Sustainability</w:t>
                      </w:r>
                    </w:p>
                  </w:txbxContent>
                </v:textbox>
              </v:shape>
            </w:pict>
          </mc:Fallback>
        </mc:AlternateContent>
      </w:r>
      <w:r w:rsidR="00EF191F">
        <w:rPr>
          <w:rFonts w:asciiTheme="majorBidi" w:hAnsiTheme="majorBidi" w:cstheme="majorBidi"/>
          <w:noProof/>
          <w:sz w:val="24"/>
        </w:rPr>
        <w:drawing>
          <wp:inline distT="0" distB="0" distL="0" distR="0" wp14:anchorId="4BE43181" wp14:editId="0C4BFBA1">
            <wp:extent cx="5486400" cy="3200400"/>
            <wp:effectExtent l="0" t="76200" r="0" b="9525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EF191F" w:rsidRDefault="00EF191F" w:rsidP="00EF191F">
      <w:pPr>
        <w:tabs>
          <w:tab w:val="left" w:pos="3098"/>
        </w:tabs>
        <w:bidi w:val="0"/>
        <w:spacing w:before="120" w:after="120"/>
        <w:rPr>
          <w:rFonts w:asciiTheme="majorBidi" w:hAnsiTheme="majorBidi" w:cstheme="majorBidi"/>
          <w:sz w:val="36"/>
          <w:szCs w:val="36"/>
        </w:rPr>
      </w:pPr>
      <w:r w:rsidRPr="00C506BA">
        <w:rPr>
          <w:rFonts w:asciiTheme="majorBidi" w:hAnsiTheme="majorBidi" w:cstheme="majorBidi"/>
          <w:sz w:val="36"/>
          <w:szCs w:val="36"/>
        </w:rPr>
        <w:tab/>
      </w:r>
      <w:r w:rsidRPr="00C506BA">
        <w:rPr>
          <w:rFonts w:asciiTheme="majorBidi" w:hAnsiTheme="majorBidi" w:cstheme="majorBidi"/>
          <w:sz w:val="20"/>
          <w:szCs w:val="20"/>
        </w:rPr>
        <w:t>Fig. 1. Sustainability (Hart, 1999)</w:t>
      </w:r>
    </w:p>
    <w:p w:rsidR="00EF191F" w:rsidRPr="006A088F" w:rsidRDefault="00EF191F" w:rsidP="00EF191F">
      <w:pPr>
        <w:bidi w:val="0"/>
        <w:spacing w:before="120" w:after="120"/>
        <w:ind w:firstLine="720"/>
        <w:rPr>
          <w:rFonts w:asciiTheme="majorBidi" w:hAnsiTheme="majorBidi" w:cstheme="majorBidi"/>
          <w:szCs w:val="22"/>
        </w:rPr>
      </w:pPr>
      <w:r w:rsidRPr="006A088F">
        <w:rPr>
          <w:rFonts w:asciiTheme="majorBidi" w:hAnsiTheme="majorBidi" w:cstheme="majorBidi"/>
          <w:szCs w:val="22"/>
        </w:rPr>
        <w:t>Strategic development can be provided through synergies with environmental, economic and social sustainability components. Since environmental and social sustainability cannot exist without economic sustainability, it is accepted that social sustainability is a prerequisite for economic sustainability. These three components should be considered as an integral part of their overall integration (HKU Architecture, 2002).</w:t>
      </w:r>
    </w:p>
    <w:p w:rsidR="00EF191F" w:rsidRPr="009518A1" w:rsidRDefault="00EF191F" w:rsidP="00EF191F">
      <w:pPr>
        <w:bidi w:val="0"/>
        <w:spacing w:before="120" w:after="120"/>
        <w:rPr>
          <w:rFonts w:asciiTheme="majorBidi" w:hAnsiTheme="majorBidi" w:cstheme="majorBidi"/>
          <w:b/>
          <w:bCs/>
          <w:szCs w:val="22"/>
        </w:rPr>
      </w:pPr>
      <w:r w:rsidRPr="009518A1">
        <w:rPr>
          <w:rFonts w:asciiTheme="majorBidi" w:hAnsiTheme="majorBidi" w:cstheme="majorBidi"/>
          <w:b/>
          <w:bCs/>
          <w:szCs w:val="22"/>
        </w:rPr>
        <w:t>2.2. Sustainable and environmentally friendly design</w:t>
      </w:r>
    </w:p>
    <w:p w:rsidR="00EF191F" w:rsidRPr="006A088F" w:rsidRDefault="00EF191F" w:rsidP="00EF191F">
      <w:pPr>
        <w:bidi w:val="0"/>
        <w:spacing w:before="120" w:after="120"/>
        <w:ind w:firstLine="720"/>
        <w:rPr>
          <w:rFonts w:asciiTheme="majorBidi" w:hAnsiTheme="majorBidi" w:cstheme="majorBidi"/>
          <w:szCs w:val="22"/>
        </w:rPr>
      </w:pPr>
      <w:r w:rsidRPr="006A088F">
        <w:rPr>
          <w:rFonts w:asciiTheme="majorBidi" w:hAnsiTheme="majorBidi" w:cstheme="majorBidi"/>
          <w:szCs w:val="22"/>
        </w:rPr>
        <w:t>The concept of sustainable product design can be easily understood by the term "design" of a creative activity to choose between different possibilities (</w:t>
      </w:r>
      <w:proofErr w:type="spellStart"/>
      <w:r w:rsidRPr="006A088F">
        <w:rPr>
          <w:rFonts w:asciiTheme="majorBidi" w:hAnsiTheme="majorBidi" w:cstheme="majorBidi"/>
          <w:szCs w:val="22"/>
        </w:rPr>
        <w:t>Manzini</w:t>
      </w:r>
      <w:proofErr w:type="spellEnd"/>
      <w:r w:rsidRPr="006A088F">
        <w:rPr>
          <w:rFonts w:asciiTheme="majorBidi" w:hAnsiTheme="majorBidi" w:cstheme="majorBidi"/>
          <w:szCs w:val="22"/>
        </w:rPr>
        <w:t>, 2006). Sometimes, design is just a good idea, sketch or an object. However, this is a very broad concept that involves the production and development of efficient and effective ideas through a process that leads to product development (Morris, 2016). There are usually four stages of a typical design process (Gagnon et al., 2012). The first step is to plan and define the problem and then conceptual design. In the conceptual design phase, product performance identification is performed, alternative concepts are generated, and design specifications are determined. The third step is preliminary design, which involves preparing and evaluating alternative concepts and selecting the best concept. The final step is the detailed design where the selected options are explained in detail, further evaluation and optimization is performed, the need for construction and maintenance is identified, and the documentation and communications are performed.</w:t>
      </w:r>
    </w:p>
    <w:p w:rsidR="00EF191F" w:rsidRPr="006A088F" w:rsidRDefault="00EF191F" w:rsidP="00EF191F">
      <w:pPr>
        <w:bidi w:val="0"/>
        <w:spacing w:before="120" w:after="120"/>
        <w:rPr>
          <w:rFonts w:asciiTheme="majorBidi" w:hAnsiTheme="majorBidi" w:cstheme="majorBidi"/>
          <w:szCs w:val="22"/>
        </w:rPr>
      </w:pPr>
      <w:r w:rsidRPr="006A088F">
        <w:rPr>
          <w:rFonts w:asciiTheme="majorBidi" w:hAnsiTheme="majorBidi" w:cstheme="majorBidi"/>
          <w:szCs w:val="22"/>
        </w:rPr>
        <w:tab/>
      </w:r>
      <w:proofErr w:type="spellStart"/>
      <w:r w:rsidRPr="006A088F">
        <w:rPr>
          <w:rFonts w:asciiTheme="majorBidi" w:hAnsiTheme="majorBidi" w:cstheme="majorBidi"/>
          <w:szCs w:val="22"/>
        </w:rPr>
        <w:t>Boyko</w:t>
      </w:r>
      <w:proofErr w:type="spellEnd"/>
      <w:r w:rsidRPr="006A088F">
        <w:rPr>
          <w:rFonts w:asciiTheme="majorBidi" w:hAnsiTheme="majorBidi" w:cstheme="majorBidi"/>
          <w:szCs w:val="22"/>
        </w:rPr>
        <w:t xml:space="preserve"> (2009) improved the conventional design process by incorporating "sustainability tasks" during the design process. The main tasks of sustainability include:</w:t>
      </w:r>
    </w:p>
    <w:p w:rsidR="00EF191F" w:rsidRPr="006A088F" w:rsidRDefault="00EF191F" w:rsidP="00EF191F">
      <w:pPr>
        <w:bidi w:val="0"/>
        <w:spacing w:before="120" w:after="120"/>
        <w:rPr>
          <w:rFonts w:asciiTheme="majorBidi" w:hAnsiTheme="majorBidi" w:cstheme="majorBidi"/>
          <w:szCs w:val="22"/>
        </w:rPr>
      </w:pPr>
      <w:r w:rsidRPr="006A088F">
        <w:rPr>
          <w:rFonts w:asciiTheme="majorBidi" w:hAnsiTheme="majorBidi" w:cstheme="majorBidi"/>
          <w:szCs w:val="22"/>
        </w:rPr>
        <w:t>(1) identifying and prioritizing the sustainability issues that constitute the "sustainability plan".</w:t>
      </w:r>
    </w:p>
    <w:p w:rsidR="00EF191F" w:rsidRPr="006A088F" w:rsidRDefault="00EF191F" w:rsidP="00EF191F">
      <w:pPr>
        <w:bidi w:val="0"/>
        <w:spacing w:before="120" w:after="120"/>
        <w:rPr>
          <w:rFonts w:asciiTheme="majorBidi" w:hAnsiTheme="majorBidi" w:cstheme="majorBidi"/>
          <w:szCs w:val="22"/>
        </w:rPr>
      </w:pPr>
      <w:r w:rsidRPr="006A088F">
        <w:rPr>
          <w:rFonts w:asciiTheme="majorBidi" w:hAnsiTheme="majorBidi" w:cstheme="majorBidi"/>
          <w:szCs w:val="22"/>
        </w:rPr>
        <w:t>(2) Provide sustainability advice on early designs using relevant tools and emphasize exchanges between sustainability issues.</w:t>
      </w:r>
    </w:p>
    <w:p w:rsidR="00EF191F" w:rsidRPr="006A088F" w:rsidRDefault="00EF191F" w:rsidP="00EF191F">
      <w:pPr>
        <w:bidi w:val="0"/>
        <w:spacing w:before="120" w:after="120"/>
        <w:rPr>
          <w:rFonts w:asciiTheme="majorBidi" w:hAnsiTheme="majorBidi" w:cstheme="majorBidi"/>
          <w:szCs w:val="22"/>
        </w:rPr>
      </w:pPr>
      <w:r w:rsidRPr="006A088F">
        <w:rPr>
          <w:rFonts w:asciiTheme="majorBidi" w:hAnsiTheme="majorBidi" w:cstheme="majorBidi"/>
          <w:szCs w:val="22"/>
        </w:rPr>
        <w:t>(3) Evaluate the design performance against the sustainability plan.</w:t>
      </w:r>
    </w:p>
    <w:p w:rsidR="00EF191F" w:rsidRPr="006A088F" w:rsidRDefault="00EF191F" w:rsidP="00EF191F">
      <w:pPr>
        <w:bidi w:val="0"/>
        <w:spacing w:before="120" w:after="120"/>
        <w:rPr>
          <w:rFonts w:asciiTheme="majorBidi" w:hAnsiTheme="majorBidi" w:cstheme="majorBidi"/>
          <w:sz w:val="32"/>
          <w:szCs w:val="32"/>
        </w:rPr>
      </w:pPr>
      <w:r w:rsidRPr="006A088F">
        <w:rPr>
          <w:rFonts w:asciiTheme="majorBidi" w:hAnsiTheme="majorBidi" w:cstheme="majorBidi"/>
          <w:szCs w:val="22"/>
        </w:rPr>
        <w:t xml:space="preserve">(4) Develop strategies for tracking sustainability. In addition, Gagnon et al. (2012) described </w:t>
      </w:r>
      <w:r w:rsidRPr="006A088F">
        <w:rPr>
          <w:rFonts w:asciiTheme="majorBidi" w:hAnsiTheme="majorBidi" w:cstheme="majorBidi"/>
          <w:szCs w:val="22"/>
        </w:rPr>
        <w:lastRenderedPageBreak/>
        <w:t>detailed tasks in all four stages of a sustainable design process. In summary, traditional product design focuses on product features, quality, and costs needed to meet customer needs, while sustainable product design (SPD) systematically adheres to the entire product life cycle for functional, environmental, and economic performance. . Slow. Gradually. (Lu et al., 2011).</w:t>
      </w:r>
    </w:p>
    <w:p w:rsidR="00EF191F" w:rsidRPr="00941844" w:rsidRDefault="00EF191F" w:rsidP="00EF191F">
      <w:pPr>
        <w:bidi w:val="0"/>
        <w:spacing w:before="120" w:after="120"/>
        <w:rPr>
          <w:rFonts w:asciiTheme="majorBidi" w:hAnsiTheme="majorBidi" w:cstheme="majorBidi"/>
          <w:b/>
          <w:bCs/>
          <w:sz w:val="24"/>
        </w:rPr>
      </w:pPr>
      <w:r w:rsidRPr="00941844">
        <w:rPr>
          <w:rFonts w:asciiTheme="majorBidi" w:hAnsiTheme="majorBidi" w:cstheme="majorBidi"/>
          <w:b/>
          <w:bCs/>
          <w:sz w:val="24"/>
        </w:rPr>
        <w:t>3. Evaluation framework</w:t>
      </w:r>
    </w:p>
    <w:p w:rsidR="00EF191F" w:rsidRPr="006A088F" w:rsidRDefault="00EF191F" w:rsidP="00EF191F">
      <w:pPr>
        <w:bidi w:val="0"/>
        <w:spacing w:before="120" w:after="120"/>
        <w:ind w:firstLine="720"/>
        <w:rPr>
          <w:rFonts w:asciiTheme="majorBidi" w:hAnsiTheme="majorBidi" w:cstheme="majorBidi"/>
          <w:szCs w:val="22"/>
        </w:rPr>
      </w:pPr>
      <w:r w:rsidRPr="006A088F">
        <w:rPr>
          <w:rFonts w:asciiTheme="majorBidi" w:hAnsiTheme="majorBidi" w:cstheme="majorBidi"/>
          <w:szCs w:val="22"/>
        </w:rPr>
        <w:t>The framework for evaluating urban sustainable development consists of human nature and well-being, as shown in Figure 2. The natural resource subsystem mainly includes water, energy and land use. The human welfare subsystem does not include safety, raw materials for good living, health, social relations, freedom of choice and freedom to act. (Millennium Ecosystem Assessment, 2003-2005). In this study, community, economy and natural factors were selected to reflect the well-being of urban dwellers (Progress et al., 2010). From a social point of view, it has been argued that income or merely the growth of economic output should complement other variables such as non-economic output and desired variables and human needs, including security and education. In this framework of assessment, human well-being from the social component includes human health, education and life. Depending on the economic component, these include living standards and the ability to help others (i.e., the amount a city can provide financially to help other cities or areas outside its own economic interests). Finally, the natural component includes recreation greenbelts, clean air, and clean water.</w:t>
      </w:r>
    </w:p>
    <w:p w:rsidR="00EF191F" w:rsidRDefault="00EF191F" w:rsidP="00EF191F">
      <w:pPr>
        <w:tabs>
          <w:tab w:val="left" w:pos="3014"/>
        </w:tabs>
        <w:bidi w:val="0"/>
        <w:spacing w:before="120" w:after="120"/>
        <w:jc w:val="center"/>
        <w:rPr>
          <w:rFonts w:asciiTheme="majorBidi" w:hAnsiTheme="majorBidi" w:cstheme="majorBidi"/>
          <w:sz w:val="24"/>
        </w:rPr>
      </w:pPr>
      <w:r>
        <w:rPr>
          <w:rFonts w:asciiTheme="majorBidi" w:hAnsiTheme="majorBidi" w:cstheme="majorBidi"/>
          <w:noProof/>
          <w:sz w:val="24"/>
        </w:rPr>
        <w:drawing>
          <wp:inline distT="0" distB="0" distL="0" distR="0" wp14:anchorId="0BABDF62" wp14:editId="5BA56D1F">
            <wp:extent cx="5731510" cy="4251113"/>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31510" cy="4251113"/>
                    </a:xfrm>
                    <a:prstGeom prst="rect">
                      <a:avLst/>
                    </a:prstGeom>
                    <a:noFill/>
                    <a:ln>
                      <a:noFill/>
                    </a:ln>
                  </pic:spPr>
                </pic:pic>
              </a:graphicData>
            </a:graphic>
          </wp:inline>
        </w:drawing>
      </w:r>
    </w:p>
    <w:p w:rsidR="00EF191F" w:rsidRPr="004C3E62" w:rsidRDefault="00EF191F" w:rsidP="00EF191F">
      <w:pPr>
        <w:tabs>
          <w:tab w:val="left" w:pos="3014"/>
        </w:tabs>
        <w:bidi w:val="0"/>
        <w:spacing w:before="120" w:after="120"/>
        <w:jc w:val="center"/>
        <w:rPr>
          <w:rFonts w:asciiTheme="majorBidi" w:hAnsiTheme="majorBidi" w:cstheme="majorBidi"/>
          <w:sz w:val="20"/>
          <w:szCs w:val="20"/>
        </w:rPr>
      </w:pPr>
      <w:r w:rsidRPr="004C3E62">
        <w:rPr>
          <w:rFonts w:asciiTheme="majorBidi" w:hAnsiTheme="majorBidi" w:cstheme="majorBidi"/>
          <w:sz w:val="20"/>
          <w:szCs w:val="20"/>
        </w:rPr>
        <w:t>Fig. 2. Integrated evaluation framework of urban sustainable development.</w:t>
      </w:r>
    </w:p>
    <w:p w:rsidR="00EF191F" w:rsidRDefault="00EF191F" w:rsidP="00EF191F">
      <w:pPr>
        <w:tabs>
          <w:tab w:val="left" w:pos="3014"/>
        </w:tabs>
        <w:bidi w:val="0"/>
        <w:rPr>
          <w:rFonts w:asciiTheme="majorBidi" w:hAnsiTheme="majorBidi" w:cstheme="majorBidi"/>
          <w:sz w:val="18"/>
          <w:szCs w:val="18"/>
        </w:rPr>
      </w:pPr>
    </w:p>
    <w:p w:rsidR="00EF191F" w:rsidRPr="00941844" w:rsidRDefault="00EF191F" w:rsidP="00EF191F">
      <w:pPr>
        <w:bidi w:val="0"/>
        <w:spacing w:before="120" w:after="120"/>
        <w:rPr>
          <w:rFonts w:asciiTheme="majorBidi" w:hAnsiTheme="majorBidi" w:cstheme="majorBidi"/>
          <w:b/>
          <w:bCs/>
          <w:szCs w:val="22"/>
        </w:rPr>
      </w:pPr>
      <w:r w:rsidRPr="00941844">
        <w:rPr>
          <w:rFonts w:asciiTheme="majorBidi" w:hAnsiTheme="majorBidi" w:cstheme="majorBidi"/>
          <w:b/>
          <w:bCs/>
          <w:szCs w:val="22"/>
        </w:rPr>
        <w:t>3.1. Sustainability Scales</w:t>
      </w:r>
    </w:p>
    <w:p w:rsidR="00EF191F" w:rsidRPr="00C63B02" w:rsidRDefault="00EF191F" w:rsidP="00EF191F">
      <w:pPr>
        <w:bidi w:val="0"/>
        <w:spacing w:before="120" w:after="120"/>
        <w:rPr>
          <w:rFonts w:asciiTheme="majorBidi" w:hAnsiTheme="majorBidi" w:cstheme="majorBidi"/>
          <w:sz w:val="24"/>
        </w:rPr>
      </w:pPr>
      <w:r>
        <w:rPr>
          <w:rFonts w:asciiTheme="majorBidi" w:hAnsiTheme="majorBidi" w:cstheme="majorBidi"/>
          <w:sz w:val="24"/>
        </w:rPr>
        <w:tab/>
      </w:r>
      <w:r w:rsidRPr="006A088F">
        <w:rPr>
          <w:rFonts w:asciiTheme="majorBidi" w:hAnsiTheme="majorBidi" w:cstheme="majorBidi"/>
          <w:szCs w:val="22"/>
        </w:rPr>
        <w:t xml:space="preserve">In the sustainable conceptual model developed by BEQUEST and in the internationally accepted dimension, sustainability is examined with respect to the text covered. Global scale, territorial, national, municipal, street, construction, system and materials / components (BEQUEST, 2000). The main prerequisite for global sustainability development is the need for an international </w:t>
      </w:r>
      <w:r w:rsidRPr="006A088F">
        <w:rPr>
          <w:rFonts w:asciiTheme="majorBidi" w:hAnsiTheme="majorBidi" w:cstheme="majorBidi"/>
          <w:szCs w:val="22"/>
        </w:rPr>
        <w:lastRenderedPageBreak/>
        <w:t>organization with a transnational authority to consume resources and solve regional environmental sustainability problems mediating between global and territorial sustainability. Sustainable system management, political control and global orientation as territorial resources and features are increasingly compatible at this scale. National sustainability is the intermediate scale between territorial and urban / regional sustainability. This scale is used to determine the economic, social and political conditions of nations and to formulate practical solutions for decisions. In urban / regional (local) sustainability, accountability and resource allocation are needed for existing sustainability. According to the principles of municipal sustainability, in urban planning and the formation of living environments, meeting the requirements without damaging environmental values ​​and resources is accepted as the basis. Sustainability is measured on an urban, street, system and materials scale.</w:t>
      </w:r>
    </w:p>
    <w:p w:rsidR="00EF191F" w:rsidRPr="00941844" w:rsidRDefault="00EF191F" w:rsidP="00EF191F">
      <w:pPr>
        <w:bidi w:val="0"/>
        <w:spacing w:before="120" w:after="120"/>
        <w:rPr>
          <w:rFonts w:asciiTheme="majorBidi" w:hAnsiTheme="majorBidi" w:cstheme="majorBidi"/>
          <w:b/>
          <w:bCs/>
          <w:szCs w:val="22"/>
        </w:rPr>
      </w:pPr>
      <w:r w:rsidRPr="00941844">
        <w:rPr>
          <w:rFonts w:asciiTheme="majorBidi" w:hAnsiTheme="majorBidi" w:cstheme="majorBidi"/>
          <w:b/>
          <w:bCs/>
          <w:szCs w:val="22"/>
        </w:rPr>
        <w:t>3.2. Sustainable Development Strategies</w:t>
      </w:r>
    </w:p>
    <w:p w:rsidR="00EF191F" w:rsidRPr="006A088F" w:rsidRDefault="00EF191F" w:rsidP="00EF191F">
      <w:pPr>
        <w:bidi w:val="0"/>
        <w:spacing w:before="120" w:after="120"/>
        <w:rPr>
          <w:rFonts w:asciiTheme="majorBidi" w:hAnsiTheme="majorBidi" w:cstheme="majorBidi"/>
          <w:szCs w:val="22"/>
        </w:rPr>
      </w:pPr>
      <w:r>
        <w:rPr>
          <w:rFonts w:asciiTheme="majorBidi" w:hAnsiTheme="majorBidi" w:cstheme="majorBidi"/>
          <w:sz w:val="24"/>
        </w:rPr>
        <w:tab/>
      </w:r>
      <w:r w:rsidRPr="006A088F">
        <w:rPr>
          <w:rFonts w:asciiTheme="majorBidi" w:hAnsiTheme="majorBidi" w:cstheme="majorBidi"/>
          <w:szCs w:val="22"/>
        </w:rPr>
        <w:t xml:space="preserve">In a report commissioned by international organizations in 1991, sustainable development is defined as "enhancing the quality of human life by staying within the boundaries of a limited ecosystem capacity for sustainability". 9 principles that can be the basis for sustainable development strategies (IUCN, 1991; UNEP 2011; WWF, 1991; </w:t>
      </w:r>
      <w:proofErr w:type="spellStart"/>
      <w:r w:rsidRPr="006A088F">
        <w:rPr>
          <w:rFonts w:asciiTheme="majorBidi" w:hAnsiTheme="majorBidi" w:cstheme="majorBidi"/>
          <w:szCs w:val="22"/>
        </w:rPr>
        <w:t>Sev</w:t>
      </w:r>
      <w:proofErr w:type="spellEnd"/>
      <w:r w:rsidRPr="006A088F">
        <w:rPr>
          <w:rFonts w:asciiTheme="majorBidi" w:hAnsiTheme="majorBidi" w:cstheme="majorBidi"/>
          <w:szCs w:val="22"/>
        </w:rPr>
        <w:t>, 2009).</w:t>
      </w:r>
    </w:p>
    <w:p w:rsidR="00EF191F" w:rsidRPr="006A088F" w:rsidRDefault="00EF191F" w:rsidP="00EF191F">
      <w:pPr>
        <w:pStyle w:val="ListParagraph"/>
        <w:numPr>
          <w:ilvl w:val="0"/>
          <w:numId w:val="5"/>
        </w:numPr>
        <w:spacing w:after="0" w:line="240" w:lineRule="auto"/>
        <w:ind w:left="0" w:firstLine="0"/>
        <w:jc w:val="both"/>
        <w:rPr>
          <w:rFonts w:asciiTheme="majorBidi" w:hAnsiTheme="majorBidi" w:cstheme="majorBidi"/>
          <w:rtl/>
        </w:rPr>
      </w:pPr>
      <w:r w:rsidRPr="006A088F">
        <w:rPr>
          <w:rFonts w:asciiTheme="majorBidi" w:hAnsiTheme="majorBidi" w:cstheme="majorBidi"/>
        </w:rPr>
        <w:t>Shows respect and care for the common life.</w:t>
      </w:r>
    </w:p>
    <w:p w:rsidR="00EF191F" w:rsidRPr="006A088F" w:rsidRDefault="00EF191F" w:rsidP="00EF191F">
      <w:pPr>
        <w:pStyle w:val="ListParagraph"/>
        <w:numPr>
          <w:ilvl w:val="0"/>
          <w:numId w:val="5"/>
        </w:numPr>
        <w:spacing w:after="0" w:line="240" w:lineRule="auto"/>
        <w:ind w:left="0" w:firstLine="0"/>
        <w:jc w:val="both"/>
        <w:rPr>
          <w:rFonts w:asciiTheme="majorBidi" w:hAnsiTheme="majorBidi" w:cstheme="majorBidi"/>
        </w:rPr>
      </w:pPr>
      <w:r w:rsidRPr="006A088F">
        <w:rPr>
          <w:rFonts w:asciiTheme="majorBidi" w:hAnsiTheme="majorBidi" w:cstheme="majorBidi"/>
        </w:rPr>
        <w:t>Increasing the quality of human life.</w:t>
      </w:r>
    </w:p>
    <w:p w:rsidR="00EF191F" w:rsidRPr="006A088F" w:rsidRDefault="00EF191F" w:rsidP="00EF191F">
      <w:pPr>
        <w:pStyle w:val="ListParagraph"/>
        <w:numPr>
          <w:ilvl w:val="0"/>
          <w:numId w:val="5"/>
        </w:numPr>
        <w:spacing w:after="0" w:line="240" w:lineRule="auto"/>
        <w:ind w:left="0" w:firstLine="0"/>
        <w:jc w:val="both"/>
        <w:rPr>
          <w:rFonts w:asciiTheme="majorBidi" w:hAnsiTheme="majorBidi" w:cstheme="majorBidi"/>
        </w:rPr>
      </w:pPr>
      <w:r w:rsidRPr="006A088F">
        <w:rPr>
          <w:rFonts w:asciiTheme="majorBidi" w:hAnsiTheme="majorBidi" w:cstheme="majorBidi"/>
        </w:rPr>
        <w:t>Protecting the vitality and diversity of the earth.</w:t>
      </w:r>
    </w:p>
    <w:p w:rsidR="00EF191F" w:rsidRPr="006A088F" w:rsidRDefault="00EF191F" w:rsidP="00EF191F">
      <w:pPr>
        <w:pStyle w:val="ListParagraph"/>
        <w:numPr>
          <w:ilvl w:val="0"/>
          <w:numId w:val="5"/>
        </w:numPr>
        <w:spacing w:after="0" w:line="240" w:lineRule="auto"/>
        <w:ind w:left="0" w:firstLine="0"/>
        <w:jc w:val="both"/>
        <w:rPr>
          <w:rFonts w:asciiTheme="majorBidi" w:hAnsiTheme="majorBidi" w:cstheme="majorBidi"/>
        </w:rPr>
      </w:pPr>
      <w:r w:rsidRPr="006A088F">
        <w:rPr>
          <w:rFonts w:asciiTheme="majorBidi" w:hAnsiTheme="majorBidi" w:cstheme="majorBidi"/>
        </w:rPr>
        <w:t>Reduce the irreversible consumption of resources.</w:t>
      </w:r>
    </w:p>
    <w:p w:rsidR="00EF191F" w:rsidRPr="006A088F" w:rsidRDefault="00EF191F" w:rsidP="00EF191F">
      <w:pPr>
        <w:pStyle w:val="ListParagraph"/>
        <w:numPr>
          <w:ilvl w:val="0"/>
          <w:numId w:val="5"/>
        </w:numPr>
        <w:spacing w:after="0" w:line="240" w:lineRule="auto"/>
        <w:ind w:left="0" w:firstLine="0"/>
        <w:jc w:val="both"/>
        <w:rPr>
          <w:rFonts w:asciiTheme="majorBidi" w:hAnsiTheme="majorBidi" w:cstheme="majorBidi"/>
        </w:rPr>
      </w:pPr>
      <w:r w:rsidRPr="006A088F">
        <w:rPr>
          <w:rFonts w:asciiTheme="majorBidi" w:hAnsiTheme="majorBidi" w:cstheme="majorBidi"/>
        </w:rPr>
        <w:t>Staying on earth's bearing capacity.</w:t>
      </w:r>
    </w:p>
    <w:p w:rsidR="00EF191F" w:rsidRPr="006A088F" w:rsidRDefault="00EF191F" w:rsidP="00EF191F">
      <w:pPr>
        <w:pStyle w:val="ListParagraph"/>
        <w:numPr>
          <w:ilvl w:val="0"/>
          <w:numId w:val="5"/>
        </w:numPr>
        <w:spacing w:after="0" w:line="240" w:lineRule="auto"/>
        <w:ind w:left="0" w:firstLine="0"/>
        <w:jc w:val="both"/>
        <w:rPr>
          <w:rFonts w:asciiTheme="majorBidi" w:hAnsiTheme="majorBidi" w:cstheme="majorBidi"/>
        </w:rPr>
      </w:pPr>
      <w:r w:rsidRPr="006A088F">
        <w:rPr>
          <w:rFonts w:asciiTheme="majorBidi" w:hAnsiTheme="majorBidi" w:cstheme="majorBidi"/>
        </w:rPr>
        <w:t>Changes in individual behaviors and habits.</w:t>
      </w:r>
    </w:p>
    <w:p w:rsidR="00EF191F" w:rsidRPr="006A088F" w:rsidRDefault="00EF191F" w:rsidP="00EF191F">
      <w:pPr>
        <w:pStyle w:val="ListParagraph"/>
        <w:numPr>
          <w:ilvl w:val="0"/>
          <w:numId w:val="5"/>
        </w:numPr>
        <w:spacing w:after="0" w:line="240" w:lineRule="auto"/>
        <w:ind w:left="0" w:firstLine="0"/>
        <w:jc w:val="both"/>
        <w:rPr>
          <w:rFonts w:asciiTheme="majorBidi" w:hAnsiTheme="majorBidi" w:cstheme="majorBidi"/>
        </w:rPr>
      </w:pPr>
      <w:r w:rsidRPr="006A088F">
        <w:rPr>
          <w:rFonts w:asciiTheme="majorBidi" w:hAnsiTheme="majorBidi" w:cstheme="majorBidi"/>
        </w:rPr>
        <w:t>Respect your communities</w:t>
      </w:r>
    </w:p>
    <w:p w:rsidR="00EF191F" w:rsidRPr="006A088F" w:rsidRDefault="00EF191F" w:rsidP="00EF191F">
      <w:pPr>
        <w:pStyle w:val="ListParagraph"/>
        <w:numPr>
          <w:ilvl w:val="0"/>
          <w:numId w:val="5"/>
        </w:numPr>
        <w:spacing w:after="0" w:line="240" w:lineRule="auto"/>
        <w:ind w:left="0" w:firstLine="0"/>
        <w:jc w:val="both"/>
        <w:rPr>
          <w:rFonts w:asciiTheme="majorBidi" w:hAnsiTheme="majorBidi" w:cstheme="majorBidi"/>
        </w:rPr>
      </w:pPr>
      <w:r w:rsidRPr="006A088F">
        <w:rPr>
          <w:rFonts w:asciiTheme="majorBidi" w:hAnsiTheme="majorBidi" w:cstheme="majorBidi"/>
        </w:rPr>
        <w:t>Create a national framework to support integration between developments.</w:t>
      </w:r>
    </w:p>
    <w:p w:rsidR="00EF191F" w:rsidRPr="006A088F" w:rsidRDefault="00EF191F" w:rsidP="00EF191F">
      <w:pPr>
        <w:pStyle w:val="ListParagraph"/>
        <w:numPr>
          <w:ilvl w:val="0"/>
          <w:numId w:val="5"/>
        </w:numPr>
        <w:spacing w:after="0" w:line="240" w:lineRule="auto"/>
        <w:ind w:left="0" w:firstLine="0"/>
        <w:jc w:val="both"/>
        <w:rPr>
          <w:rFonts w:asciiTheme="majorBidi" w:hAnsiTheme="majorBidi" w:cstheme="majorBidi"/>
        </w:rPr>
      </w:pPr>
      <w:r w:rsidRPr="006A088F">
        <w:rPr>
          <w:rFonts w:asciiTheme="majorBidi" w:hAnsiTheme="majorBidi" w:cstheme="majorBidi"/>
        </w:rPr>
        <w:t>Forming a global agreement on the use of sustainability on a global scale.</w:t>
      </w:r>
    </w:p>
    <w:p w:rsidR="00EF191F" w:rsidRPr="006A088F" w:rsidRDefault="00EF191F" w:rsidP="00EF191F">
      <w:pPr>
        <w:bidi w:val="0"/>
        <w:spacing w:before="120" w:after="120"/>
        <w:rPr>
          <w:rFonts w:asciiTheme="majorBidi" w:hAnsiTheme="majorBidi" w:cstheme="majorBidi"/>
          <w:szCs w:val="22"/>
        </w:rPr>
      </w:pPr>
      <w:r w:rsidRPr="006A088F">
        <w:rPr>
          <w:rFonts w:asciiTheme="majorBidi" w:hAnsiTheme="majorBidi" w:cstheme="majorBidi"/>
          <w:szCs w:val="22"/>
        </w:rPr>
        <w:tab/>
        <w:t>Implementation of the construction sector plans is important when formulating sustainable development strategies. Today, the construction sector plays an important role economically and in employment. Following the principles of equality and equality in the use of spaces and resources is very important for life. On the other hand, it is an important resource that can be used for the environment. In addition to mines such as iron, cement and aluminum used in construction, they are also maintained. Resources such as water, natural gas and coal used during construction operations in the building are also the main natural resources used in the construction sector. They cause a lot of environmental problems while processing the destruction. Sustainable construction requires a sustainable construction sector.</w:t>
      </w:r>
    </w:p>
    <w:p w:rsidR="00EF191F" w:rsidRPr="00941844" w:rsidRDefault="00EF191F" w:rsidP="00EF191F">
      <w:pPr>
        <w:bidi w:val="0"/>
        <w:spacing w:before="120" w:after="120"/>
        <w:rPr>
          <w:rFonts w:asciiTheme="majorBidi" w:hAnsiTheme="majorBidi" w:cstheme="majorBidi"/>
          <w:b/>
          <w:bCs/>
          <w:sz w:val="24"/>
        </w:rPr>
      </w:pPr>
      <w:r w:rsidRPr="00941844">
        <w:rPr>
          <w:rFonts w:asciiTheme="majorBidi" w:hAnsiTheme="majorBidi" w:cstheme="majorBidi"/>
          <w:b/>
          <w:bCs/>
          <w:sz w:val="24"/>
        </w:rPr>
        <w:t>4. Partial Sustainable Product Design Tool (P-SPDT)</w:t>
      </w:r>
    </w:p>
    <w:p w:rsidR="00EF191F" w:rsidRPr="006A088F" w:rsidRDefault="00EF191F" w:rsidP="00EF191F">
      <w:pPr>
        <w:bidi w:val="0"/>
        <w:spacing w:before="120" w:after="120"/>
        <w:rPr>
          <w:rFonts w:asciiTheme="majorBidi" w:hAnsiTheme="majorBidi" w:cstheme="majorBidi"/>
          <w:szCs w:val="22"/>
        </w:rPr>
      </w:pPr>
      <w:r>
        <w:rPr>
          <w:rFonts w:asciiTheme="majorBidi" w:hAnsiTheme="majorBidi" w:cstheme="majorBidi"/>
          <w:sz w:val="24"/>
        </w:rPr>
        <w:tab/>
      </w:r>
      <w:r w:rsidRPr="006A088F">
        <w:rPr>
          <w:rFonts w:asciiTheme="majorBidi" w:hAnsiTheme="majorBidi" w:cstheme="majorBidi"/>
          <w:szCs w:val="22"/>
        </w:rPr>
        <w:t>As noted earlier, the environment was the only concern after criticizing traditional product design approaches (aimed at increasing economic profits). However, in recent years, tools for sustainable product design are different from what they used to be. They have become more comprehensive tools for realizing the concept of sustainable product design than simple environmentally friendly tools (Vicente et al., 2011). Today, these tools encompass other aspects of economic and social sustainability.</w:t>
      </w:r>
    </w:p>
    <w:p w:rsidR="00EF191F" w:rsidRPr="006A088F" w:rsidRDefault="00EF191F" w:rsidP="00EF191F">
      <w:pPr>
        <w:bidi w:val="0"/>
        <w:spacing w:before="120" w:after="120"/>
        <w:rPr>
          <w:rFonts w:asciiTheme="majorBidi" w:hAnsiTheme="majorBidi" w:cstheme="majorBidi"/>
          <w:szCs w:val="22"/>
        </w:rPr>
      </w:pPr>
      <w:r w:rsidRPr="006A088F">
        <w:rPr>
          <w:rFonts w:asciiTheme="majorBidi" w:hAnsiTheme="majorBidi" w:cstheme="majorBidi"/>
          <w:szCs w:val="22"/>
        </w:rPr>
        <w:tab/>
        <w:t>Among these new tools, those that are more environmentally sustainable (economic or social), are referred to in this article as the Partial Sustainable Product Design Tool (P-SPD). The reason is that not all of these tools address three aspects of sustainability and are not limited to environmental impacts. Sustainable Product Design (SPD) tools (or SPD complete tools) are those that cover all three aspects of sustainability, discussed in detail in the next section.</w:t>
      </w:r>
    </w:p>
    <w:p w:rsidR="00EF191F" w:rsidRPr="006A088F" w:rsidRDefault="00EF191F" w:rsidP="00EF191F">
      <w:pPr>
        <w:bidi w:val="0"/>
        <w:spacing w:before="120" w:after="120"/>
        <w:rPr>
          <w:rFonts w:asciiTheme="majorBidi" w:hAnsiTheme="majorBidi" w:cstheme="majorBidi"/>
          <w:szCs w:val="22"/>
        </w:rPr>
      </w:pPr>
      <w:r w:rsidRPr="006A088F">
        <w:rPr>
          <w:rFonts w:asciiTheme="majorBidi" w:hAnsiTheme="majorBidi" w:cstheme="majorBidi"/>
          <w:szCs w:val="22"/>
        </w:rPr>
        <w:tab/>
        <w:t xml:space="preserve">Some tools were found in the P-SPD group that considered cost and quality parameters of a product without mentioning optimal sustainability aspects. It has been recalled in the past that the dimensions of product design quality are part of the traditional design approach aimed at promoting the economic benefits of manufacturers, not the welfare of customers, communities or workers. In </w:t>
      </w:r>
      <w:r w:rsidRPr="006A088F">
        <w:rPr>
          <w:rFonts w:asciiTheme="majorBidi" w:hAnsiTheme="majorBidi" w:cstheme="majorBidi"/>
          <w:szCs w:val="22"/>
        </w:rPr>
        <w:lastRenderedPageBreak/>
        <w:t>addition to equity shares, the economic dimension of quality parameters was also taken into account (EC, 2001). Therefore, while analyzing the P-SPD tool, product quality parameters are not considered in the social dimension. Cost parameters were considered in the economic dimension of sustainability. Some P-SPD tools are also extensible forms of echo design tools that have a wider scope.</w:t>
      </w:r>
    </w:p>
    <w:p w:rsidR="00EF191F" w:rsidRPr="00941844" w:rsidRDefault="00EF191F" w:rsidP="00EF191F">
      <w:pPr>
        <w:bidi w:val="0"/>
        <w:spacing w:before="120" w:after="120"/>
        <w:rPr>
          <w:rFonts w:asciiTheme="majorBidi" w:hAnsiTheme="majorBidi" w:cstheme="majorBidi"/>
          <w:b/>
          <w:bCs/>
          <w:sz w:val="24"/>
        </w:rPr>
      </w:pPr>
      <w:r w:rsidRPr="00941844">
        <w:rPr>
          <w:rFonts w:asciiTheme="majorBidi" w:hAnsiTheme="majorBidi" w:cstheme="majorBidi"/>
          <w:b/>
          <w:bCs/>
          <w:sz w:val="24"/>
        </w:rPr>
        <w:t>5. Future research directions</w:t>
      </w:r>
    </w:p>
    <w:p w:rsidR="00EF191F" w:rsidRPr="006A088F" w:rsidRDefault="00EF191F" w:rsidP="00EF191F">
      <w:pPr>
        <w:bidi w:val="0"/>
        <w:spacing w:before="120" w:after="120"/>
        <w:rPr>
          <w:rFonts w:asciiTheme="majorBidi" w:hAnsiTheme="majorBidi" w:cstheme="majorBidi"/>
          <w:szCs w:val="22"/>
        </w:rPr>
      </w:pPr>
      <w:r>
        <w:rPr>
          <w:rFonts w:asciiTheme="majorBidi" w:hAnsiTheme="majorBidi" w:cstheme="majorBidi"/>
          <w:sz w:val="24"/>
        </w:rPr>
        <w:tab/>
      </w:r>
      <w:r w:rsidRPr="006A088F">
        <w:rPr>
          <w:rFonts w:asciiTheme="majorBidi" w:hAnsiTheme="majorBidi" w:cstheme="majorBidi"/>
          <w:szCs w:val="22"/>
        </w:rPr>
        <w:t>Despite many product design tools, there is still a disappointing success and lack of proven examples of commercial tools and industrial applications (Knight &amp; Jenkins, 2009). The study showed that adoption of these tools is not yet encouraging in the industry. Therefore, future research can address the practical application and challenges associated with the tool method. Tools should be simple and user-friendly, consistent, capable of displaying analytical results and tips for improving sustainability with less time and resources. An important factor for industrial use is the maturation of a tool (</w:t>
      </w:r>
      <w:proofErr w:type="spellStart"/>
      <w:r w:rsidRPr="006A088F">
        <w:rPr>
          <w:rFonts w:asciiTheme="majorBidi" w:hAnsiTheme="majorBidi" w:cstheme="majorBidi"/>
          <w:szCs w:val="22"/>
        </w:rPr>
        <w:t>Tarne</w:t>
      </w:r>
      <w:proofErr w:type="spellEnd"/>
      <w:r w:rsidRPr="006A088F">
        <w:rPr>
          <w:rFonts w:asciiTheme="majorBidi" w:hAnsiTheme="majorBidi" w:cstheme="majorBidi"/>
          <w:szCs w:val="22"/>
        </w:rPr>
        <w:t xml:space="preserve"> et al., 2017). Here, the maturity of the tools coincides with the development phase, and the following elements are adopted and standardized: measurement methods, their indicators and weights, units of measurement, data collection modes, system boundaries and methods of measurement (</w:t>
      </w:r>
      <w:proofErr w:type="spellStart"/>
      <w:r w:rsidRPr="006A088F">
        <w:rPr>
          <w:rFonts w:asciiTheme="majorBidi" w:hAnsiTheme="majorBidi" w:cstheme="majorBidi"/>
          <w:szCs w:val="22"/>
        </w:rPr>
        <w:t>Finkbeiner</w:t>
      </w:r>
      <w:proofErr w:type="spellEnd"/>
      <w:r w:rsidRPr="006A088F">
        <w:rPr>
          <w:rFonts w:asciiTheme="majorBidi" w:hAnsiTheme="majorBidi" w:cstheme="majorBidi"/>
          <w:szCs w:val="22"/>
        </w:rPr>
        <w:t>) ). Et al., 2010; Taren et al., 2017).</w:t>
      </w:r>
    </w:p>
    <w:p w:rsidR="00EF191F" w:rsidRPr="006A088F" w:rsidRDefault="00EF191F" w:rsidP="00EF191F">
      <w:pPr>
        <w:bidi w:val="0"/>
        <w:spacing w:before="120" w:after="120"/>
        <w:rPr>
          <w:rFonts w:asciiTheme="majorBidi" w:hAnsiTheme="majorBidi" w:cstheme="majorBidi"/>
          <w:szCs w:val="22"/>
        </w:rPr>
      </w:pPr>
      <w:r w:rsidRPr="006A088F">
        <w:rPr>
          <w:rFonts w:asciiTheme="majorBidi" w:hAnsiTheme="majorBidi" w:cstheme="majorBidi"/>
          <w:szCs w:val="22"/>
        </w:rPr>
        <w:tab/>
        <w:t xml:space="preserve">It was noted that SPD tools such as </w:t>
      </w:r>
      <w:proofErr w:type="spellStart"/>
      <w:r w:rsidRPr="006A088F">
        <w:rPr>
          <w:rFonts w:asciiTheme="majorBidi" w:hAnsiTheme="majorBidi" w:cstheme="majorBidi"/>
          <w:szCs w:val="22"/>
        </w:rPr>
        <w:t>ProdSI</w:t>
      </w:r>
      <w:proofErr w:type="spellEnd"/>
      <w:r w:rsidRPr="006A088F">
        <w:rPr>
          <w:rFonts w:asciiTheme="majorBidi" w:hAnsiTheme="majorBidi" w:cstheme="majorBidi"/>
          <w:szCs w:val="22"/>
        </w:rPr>
        <w:t xml:space="preserve"> (Zhang et al., 2012), CBA-based LCSA (</w:t>
      </w:r>
      <w:proofErr w:type="spellStart"/>
      <w:r w:rsidRPr="006A088F">
        <w:rPr>
          <w:rFonts w:asciiTheme="majorBidi" w:hAnsiTheme="majorBidi" w:cstheme="majorBidi"/>
          <w:szCs w:val="22"/>
        </w:rPr>
        <w:t>Hoogmartens</w:t>
      </w:r>
      <w:proofErr w:type="spellEnd"/>
      <w:r w:rsidRPr="006A088F">
        <w:rPr>
          <w:rFonts w:asciiTheme="majorBidi" w:hAnsiTheme="majorBidi" w:cstheme="majorBidi"/>
          <w:szCs w:val="22"/>
        </w:rPr>
        <w:t xml:space="preserve"> et al., 2014), and LCSA (Guinea, 2016) have recently been developed. Neonatal stage and the use of contradictory indicators and methods of measurement This may discourage industrial users from evaluating the sustainability of a product design. Therefore, future research may focus more on the development of compatible or standard indicators and methods of measurement along with the weight of environmental, economic and social indicators for various design problems. In addition, using SPD tools in computer-aided design (CAD) software or developing proprietary computer-based tools is another way to increase their usability in the industry.</w:t>
      </w:r>
    </w:p>
    <w:p w:rsidR="00EF191F" w:rsidRPr="006A088F" w:rsidRDefault="00EF191F" w:rsidP="00EF191F">
      <w:pPr>
        <w:bidi w:val="0"/>
        <w:spacing w:before="120" w:after="120"/>
        <w:rPr>
          <w:rFonts w:asciiTheme="majorBidi" w:hAnsiTheme="majorBidi" w:cstheme="majorBidi"/>
          <w:szCs w:val="22"/>
        </w:rPr>
      </w:pPr>
      <w:r w:rsidRPr="006A088F">
        <w:rPr>
          <w:rFonts w:asciiTheme="majorBidi" w:hAnsiTheme="majorBidi" w:cstheme="majorBidi"/>
          <w:szCs w:val="22"/>
        </w:rPr>
        <w:tab/>
        <w:t>From a social perspective, only one database, the Community Center Database (SHDB), is available for social inventory (</w:t>
      </w:r>
      <w:proofErr w:type="spellStart"/>
      <w:r w:rsidRPr="006A088F">
        <w:rPr>
          <w:rFonts w:asciiTheme="majorBidi" w:hAnsiTheme="majorBidi" w:cstheme="majorBidi"/>
          <w:szCs w:val="22"/>
        </w:rPr>
        <w:t>Benoît</w:t>
      </w:r>
      <w:proofErr w:type="spellEnd"/>
      <w:r w:rsidRPr="006A088F">
        <w:rPr>
          <w:rFonts w:asciiTheme="majorBidi" w:hAnsiTheme="majorBidi" w:cstheme="majorBidi"/>
          <w:szCs w:val="22"/>
        </w:rPr>
        <w:t>-Norris et al., 2011). Therefore, in order to create databases of social sustainability aspects, most of them have tried to align with other aspects (economy and environment).</w:t>
      </w:r>
    </w:p>
    <w:p w:rsidR="00EF191F" w:rsidRPr="006A088F" w:rsidRDefault="00EF191F" w:rsidP="00EF191F">
      <w:pPr>
        <w:tabs>
          <w:tab w:val="left" w:pos="3014"/>
        </w:tabs>
        <w:bidi w:val="0"/>
        <w:spacing w:before="120" w:after="120"/>
        <w:rPr>
          <w:rFonts w:asciiTheme="majorBidi" w:hAnsiTheme="majorBidi" w:cstheme="majorBidi"/>
          <w:szCs w:val="22"/>
        </w:rPr>
      </w:pPr>
      <w:r w:rsidRPr="006A088F">
        <w:rPr>
          <w:rFonts w:asciiTheme="majorBidi" w:hAnsiTheme="majorBidi" w:cstheme="majorBidi"/>
          <w:szCs w:val="22"/>
        </w:rPr>
        <w:t>In the developing world, where development of sustainability databases is not promising, more efforts are being made.</w:t>
      </w:r>
    </w:p>
    <w:p w:rsidR="00EF191F" w:rsidRPr="00941844" w:rsidRDefault="00EF191F" w:rsidP="00EF191F">
      <w:pPr>
        <w:bidi w:val="0"/>
        <w:spacing w:before="120" w:after="120"/>
        <w:rPr>
          <w:rFonts w:asciiTheme="majorBidi" w:hAnsiTheme="majorBidi" w:cstheme="majorBidi"/>
          <w:b/>
          <w:bCs/>
          <w:sz w:val="24"/>
        </w:rPr>
      </w:pPr>
      <w:r w:rsidRPr="00941844">
        <w:rPr>
          <w:rFonts w:asciiTheme="majorBidi" w:hAnsiTheme="majorBidi" w:cstheme="majorBidi"/>
          <w:b/>
          <w:bCs/>
          <w:sz w:val="24"/>
        </w:rPr>
        <w:t>6. Conclusion</w:t>
      </w:r>
    </w:p>
    <w:p w:rsidR="00EF191F" w:rsidRPr="006A088F" w:rsidRDefault="00EF191F" w:rsidP="00EF191F">
      <w:pPr>
        <w:bidi w:val="0"/>
        <w:spacing w:before="120" w:after="120"/>
        <w:rPr>
          <w:rFonts w:asciiTheme="majorBidi" w:hAnsiTheme="majorBidi" w:cstheme="majorBidi"/>
          <w:szCs w:val="22"/>
        </w:rPr>
      </w:pPr>
      <w:r>
        <w:rPr>
          <w:rFonts w:asciiTheme="majorBidi" w:hAnsiTheme="majorBidi" w:cstheme="majorBidi"/>
          <w:sz w:val="24"/>
        </w:rPr>
        <w:tab/>
      </w:r>
      <w:r w:rsidRPr="006A088F">
        <w:rPr>
          <w:rFonts w:asciiTheme="majorBidi" w:hAnsiTheme="majorBidi" w:cstheme="majorBidi"/>
          <w:szCs w:val="22"/>
        </w:rPr>
        <w:t>In recent years, environmental awareness through government policies has been promising, but it is not enough to predict. A questionnaire surveyed by 1487 sustainability academies (</w:t>
      </w:r>
      <w:proofErr w:type="spellStart"/>
      <w:r w:rsidRPr="006A088F">
        <w:rPr>
          <w:rFonts w:asciiTheme="majorBidi" w:hAnsiTheme="majorBidi" w:cstheme="majorBidi"/>
          <w:szCs w:val="22"/>
        </w:rPr>
        <w:t>Sürdürülebilirlik</w:t>
      </w:r>
      <w:proofErr w:type="spellEnd"/>
      <w:r w:rsidRPr="006A088F">
        <w:rPr>
          <w:rFonts w:asciiTheme="majorBidi" w:hAnsiTheme="majorBidi" w:cstheme="majorBidi"/>
          <w:szCs w:val="22"/>
        </w:rPr>
        <w:t xml:space="preserve"> </w:t>
      </w:r>
      <w:proofErr w:type="spellStart"/>
      <w:r w:rsidRPr="006A088F">
        <w:rPr>
          <w:rFonts w:asciiTheme="majorBidi" w:hAnsiTheme="majorBidi" w:cstheme="majorBidi"/>
          <w:szCs w:val="22"/>
        </w:rPr>
        <w:t>Akademisi</w:t>
      </w:r>
      <w:proofErr w:type="spellEnd"/>
      <w:r w:rsidRPr="006A088F">
        <w:rPr>
          <w:rFonts w:asciiTheme="majorBidi" w:hAnsiTheme="majorBidi" w:cstheme="majorBidi"/>
          <w:szCs w:val="22"/>
        </w:rPr>
        <w:t>, 2011) showed that while 71% of participants stated that green / environmentally friendly products should be purchased, the proportion of people using this product Most often buy 19%. . A 52 percent difference indicates that although they are aware of the use of environmentally friendly products, they do not purchase environmentally friendly goods because of the high cost.</w:t>
      </w:r>
    </w:p>
    <w:p w:rsidR="00EF191F" w:rsidRPr="006A088F" w:rsidRDefault="00EF191F" w:rsidP="00EF191F">
      <w:pPr>
        <w:bidi w:val="0"/>
        <w:spacing w:before="120" w:after="120"/>
        <w:rPr>
          <w:rFonts w:asciiTheme="majorBidi" w:hAnsiTheme="majorBidi" w:cstheme="majorBidi"/>
          <w:szCs w:val="22"/>
        </w:rPr>
      </w:pPr>
      <w:r w:rsidRPr="006A088F">
        <w:rPr>
          <w:rFonts w:asciiTheme="majorBidi" w:hAnsiTheme="majorBidi" w:cstheme="majorBidi"/>
          <w:szCs w:val="22"/>
        </w:rPr>
        <w:tab/>
        <w:t>Previous studies have focused mainly on ecological tools and their applications. Therefore, the need to discover emerging tools for sustainable product design is a three-line concept of sustainability. This article reviews the methodological developments and applications of tools published from 2007 to 2017. However, more efforts were made on tools that considered more than one aspect of sustainability. Tools consisting of two aspects of sustainability were classified as PSPD. However, those who consider all three aspects are known as SPD or can be considered a complete SPD. This classification scheme will help reduce the confusion and inconsistent use of different concepts and terms in future research.</w:t>
      </w:r>
    </w:p>
    <w:p w:rsidR="00EF191F" w:rsidRPr="006A088F" w:rsidRDefault="00EF191F" w:rsidP="00EF191F">
      <w:pPr>
        <w:bidi w:val="0"/>
        <w:spacing w:before="120" w:after="120"/>
        <w:rPr>
          <w:rFonts w:asciiTheme="majorBidi" w:hAnsiTheme="majorBidi" w:cstheme="majorBidi"/>
          <w:szCs w:val="22"/>
        </w:rPr>
      </w:pPr>
      <w:r w:rsidRPr="006A088F">
        <w:rPr>
          <w:rFonts w:asciiTheme="majorBidi" w:hAnsiTheme="majorBidi" w:cstheme="majorBidi"/>
          <w:szCs w:val="22"/>
        </w:rPr>
        <w:tab/>
        <w:t xml:space="preserve">The integrated assessment framework includes the natural system and human well-being. The natural system is based on the primary consumption of urban system resources and includes water, energy and land. The human welfare system is based on a general understanding of safety, raw materials for good living, health, social relationships, freedom of choice and freedom of action. To </w:t>
      </w:r>
      <w:r w:rsidRPr="006A088F">
        <w:rPr>
          <w:rFonts w:asciiTheme="majorBidi" w:hAnsiTheme="majorBidi" w:cstheme="majorBidi"/>
          <w:szCs w:val="22"/>
        </w:rPr>
        <w:lastRenderedPageBreak/>
        <w:t>complete the evaluation, welfare can be divided into three components: society, economy and nature. Of these, human well-being is particularly difficult to measure and evaluate, and more research is needed to more accurately and accurately assess human well-being, especially sustainable human well-being.</w:t>
      </w:r>
    </w:p>
    <w:p w:rsidR="00EF191F" w:rsidRPr="00BD769F" w:rsidRDefault="00EF191F" w:rsidP="00EF191F">
      <w:pPr>
        <w:tabs>
          <w:tab w:val="left" w:pos="3014"/>
        </w:tabs>
        <w:bidi w:val="0"/>
        <w:spacing w:before="120" w:after="120"/>
        <w:rPr>
          <w:rFonts w:asciiTheme="majorBidi" w:hAnsiTheme="majorBidi" w:cstheme="majorBidi"/>
          <w:b/>
          <w:bCs/>
          <w:sz w:val="40"/>
          <w:szCs w:val="40"/>
        </w:rPr>
      </w:pPr>
      <w:r w:rsidRPr="00BD769F">
        <w:rPr>
          <w:rFonts w:asciiTheme="majorBidi" w:hAnsiTheme="majorBidi" w:cstheme="majorBidi"/>
          <w:b/>
          <w:bCs/>
          <w:sz w:val="24"/>
        </w:rPr>
        <w:t>References</w:t>
      </w:r>
    </w:p>
    <w:p w:rsidR="00EF191F" w:rsidRDefault="00EF191F" w:rsidP="00EF191F">
      <w:pPr>
        <w:bidi w:val="0"/>
        <w:spacing w:before="120" w:after="120"/>
        <w:ind w:firstLine="720"/>
        <w:rPr>
          <w:rFonts w:asciiTheme="majorBidi" w:hAnsiTheme="majorBidi" w:cstheme="majorBidi"/>
          <w:sz w:val="20"/>
          <w:szCs w:val="20"/>
        </w:rPr>
      </w:pPr>
      <w:proofErr w:type="spellStart"/>
      <w:r w:rsidRPr="009F66AC">
        <w:rPr>
          <w:rFonts w:asciiTheme="majorBidi" w:hAnsiTheme="majorBidi" w:cstheme="majorBidi"/>
          <w:sz w:val="20"/>
          <w:szCs w:val="20"/>
        </w:rPr>
        <w:t>Ameli</w:t>
      </w:r>
      <w:proofErr w:type="spellEnd"/>
      <w:r w:rsidRPr="009F66AC">
        <w:rPr>
          <w:rFonts w:asciiTheme="majorBidi" w:hAnsiTheme="majorBidi" w:cstheme="majorBidi"/>
          <w:sz w:val="20"/>
          <w:szCs w:val="20"/>
        </w:rPr>
        <w:t xml:space="preserve">, M., Mansour, S., </w:t>
      </w:r>
      <w:proofErr w:type="spellStart"/>
      <w:r w:rsidRPr="009F66AC">
        <w:rPr>
          <w:rFonts w:asciiTheme="majorBidi" w:hAnsiTheme="majorBidi" w:cstheme="majorBidi"/>
          <w:sz w:val="20"/>
          <w:szCs w:val="20"/>
        </w:rPr>
        <w:t>Ahmadi-Javid</w:t>
      </w:r>
      <w:proofErr w:type="spellEnd"/>
      <w:r w:rsidRPr="009F66AC">
        <w:rPr>
          <w:rFonts w:asciiTheme="majorBidi" w:hAnsiTheme="majorBidi" w:cstheme="majorBidi"/>
          <w:sz w:val="20"/>
          <w:szCs w:val="20"/>
        </w:rPr>
        <w:t>, A., 2016. A multi-objective model for selecting</w:t>
      </w:r>
      <w:r>
        <w:rPr>
          <w:rFonts w:asciiTheme="majorBidi" w:hAnsiTheme="majorBidi" w:cstheme="majorBidi"/>
          <w:sz w:val="20"/>
          <w:szCs w:val="20"/>
        </w:rPr>
        <w:t xml:space="preserve"> </w:t>
      </w:r>
      <w:r w:rsidRPr="009F66AC">
        <w:rPr>
          <w:rFonts w:asciiTheme="majorBidi" w:hAnsiTheme="majorBidi" w:cstheme="majorBidi"/>
          <w:sz w:val="20"/>
          <w:szCs w:val="20"/>
        </w:rPr>
        <w:t>design alternatives and end-of-life options under uncer</w:t>
      </w:r>
      <w:r>
        <w:rPr>
          <w:rFonts w:asciiTheme="majorBidi" w:hAnsiTheme="majorBidi" w:cstheme="majorBidi"/>
          <w:sz w:val="20"/>
          <w:szCs w:val="20"/>
        </w:rPr>
        <w:t xml:space="preserve">tainty: a sustainable approach. </w:t>
      </w:r>
      <w:proofErr w:type="spellStart"/>
      <w:r w:rsidRPr="009F66AC">
        <w:rPr>
          <w:rFonts w:asciiTheme="majorBidi" w:hAnsiTheme="majorBidi" w:cstheme="majorBidi"/>
          <w:sz w:val="20"/>
          <w:szCs w:val="20"/>
        </w:rPr>
        <w:t>Resour</w:t>
      </w:r>
      <w:proofErr w:type="spellEnd"/>
      <w:r w:rsidRPr="009F66AC">
        <w:rPr>
          <w:rFonts w:asciiTheme="majorBidi" w:hAnsiTheme="majorBidi" w:cstheme="majorBidi"/>
          <w:sz w:val="20"/>
          <w:szCs w:val="20"/>
        </w:rPr>
        <w:t xml:space="preserve">. </w:t>
      </w:r>
      <w:proofErr w:type="spellStart"/>
      <w:r w:rsidRPr="009F66AC">
        <w:rPr>
          <w:rFonts w:asciiTheme="majorBidi" w:hAnsiTheme="majorBidi" w:cstheme="majorBidi"/>
          <w:sz w:val="20"/>
          <w:szCs w:val="20"/>
        </w:rPr>
        <w:t>Conserv</w:t>
      </w:r>
      <w:proofErr w:type="spellEnd"/>
      <w:r w:rsidRPr="009F66AC">
        <w:rPr>
          <w:rFonts w:asciiTheme="majorBidi" w:hAnsiTheme="majorBidi" w:cstheme="majorBidi"/>
          <w:sz w:val="20"/>
          <w:szCs w:val="20"/>
        </w:rPr>
        <w:t xml:space="preserve">. </w:t>
      </w:r>
      <w:proofErr w:type="spellStart"/>
      <w:r w:rsidRPr="009F66AC">
        <w:rPr>
          <w:rFonts w:asciiTheme="majorBidi" w:hAnsiTheme="majorBidi" w:cstheme="majorBidi"/>
          <w:sz w:val="20"/>
          <w:szCs w:val="20"/>
        </w:rPr>
        <w:t>Recycl</w:t>
      </w:r>
      <w:proofErr w:type="spellEnd"/>
      <w:r w:rsidRPr="009F66AC">
        <w:rPr>
          <w:rFonts w:asciiTheme="majorBidi" w:hAnsiTheme="majorBidi" w:cstheme="majorBidi"/>
          <w:sz w:val="20"/>
          <w:szCs w:val="20"/>
        </w:rPr>
        <w:t>. 109, 123–136.</w:t>
      </w:r>
    </w:p>
    <w:p w:rsidR="00EF191F" w:rsidRPr="009F66AC" w:rsidRDefault="00EF191F" w:rsidP="00EF191F">
      <w:pPr>
        <w:bidi w:val="0"/>
        <w:spacing w:before="120" w:after="120"/>
        <w:ind w:firstLine="720"/>
        <w:rPr>
          <w:rFonts w:asciiTheme="majorBidi" w:hAnsiTheme="majorBidi" w:cstheme="majorBidi"/>
          <w:sz w:val="20"/>
          <w:szCs w:val="20"/>
        </w:rPr>
      </w:pPr>
      <w:proofErr w:type="spellStart"/>
      <w:r w:rsidRPr="009F66AC">
        <w:rPr>
          <w:rFonts w:asciiTheme="majorBidi" w:hAnsiTheme="majorBidi" w:cstheme="majorBidi"/>
          <w:sz w:val="20"/>
          <w:szCs w:val="20"/>
        </w:rPr>
        <w:t>Azkarate</w:t>
      </w:r>
      <w:proofErr w:type="spellEnd"/>
      <w:r w:rsidRPr="009F66AC">
        <w:rPr>
          <w:rFonts w:asciiTheme="majorBidi" w:hAnsiTheme="majorBidi" w:cstheme="majorBidi"/>
          <w:sz w:val="20"/>
          <w:szCs w:val="20"/>
        </w:rPr>
        <w:t xml:space="preserve">, A., </w:t>
      </w:r>
      <w:proofErr w:type="spellStart"/>
      <w:r w:rsidRPr="009F66AC">
        <w:rPr>
          <w:rFonts w:asciiTheme="majorBidi" w:hAnsiTheme="majorBidi" w:cstheme="majorBidi"/>
          <w:sz w:val="20"/>
          <w:szCs w:val="20"/>
        </w:rPr>
        <w:t>Ricondo</w:t>
      </w:r>
      <w:proofErr w:type="spellEnd"/>
      <w:r w:rsidRPr="009F66AC">
        <w:rPr>
          <w:rFonts w:asciiTheme="majorBidi" w:hAnsiTheme="majorBidi" w:cstheme="majorBidi"/>
          <w:sz w:val="20"/>
          <w:szCs w:val="20"/>
        </w:rPr>
        <w:t xml:space="preserve">, I., Pérez, A., </w:t>
      </w:r>
      <w:proofErr w:type="spellStart"/>
      <w:r w:rsidRPr="009F66AC">
        <w:rPr>
          <w:rFonts w:asciiTheme="majorBidi" w:hAnsiTheme="majorBidi" w:cstheme="majorBidi"/>
          <w:sz w:val="20"/>
          <w:szCs w:val="20"/>
        </w:rPr>
        <w:t>Martínez</w:t>
      </w:r>
      <w:proofErr w:type="spellEnd"/>
      <w:r w:rsidRPr="009F66AC">
        <w:rPr>
          <w:rFonts w:asciiTheme="majorBidi" w:hAnsiTheme="majorBidi" w:cstheme="majorBidi"/>
          <w:sz w:val="20"/>
          <w:szCs w:val="20"/>
        </w:rPr>
        <w:t xml:space="preserve">, P., 2011. </w:t>
      </w:r>
      <w:r>
        <w:rPr>
          <w:rFonts w:asciiTheme="majorBidi" w:hAnsiTheme="majorBidi" w:cstheme="majorBidi"/>
          <w:sz w:val="20"/>
          <w:szCs w:val="20"/>
        </w:rPr>
        <w:t xml:space="preserve">An assessment method and design </w:t>
      </w:r>
      <w:r w:rsidRPr="009F66AC">
        <w:rPr>
          <w:rFonts w:asciiTheme="majorBidi" w:hAnsiTheme="majorBidi" w:cstheme="majorBidi"/>
          <w:sz w:val="20"/>
          <w:szCs w:val="20"/>
        </w:rPr>
        <w:t>support system for designing sustainable machine tools. J. Eng. Des. 22, 165–179.</w:t>
      </w:r>
    </w:p>
    <w:p w:rsidR="00EF191F" w:rsidRPr="009F66AC" w:rsidRDefault="00EF191F" w:rsidP="00EF191F">
      <w:pPr>
        <w:bidi w:val="0"/>
        <w:spacing w:before="120" w:after="120"/>
        <w:ind w:firstLine="720"/>
        <w:rPr>
          <w:rFonts w:asciiTheme="majorBidi" w:hAnsiTheme="majorBidi" w:cstheme="majorBidi"/>
          <w:sz w:val="20"/>
          <w:szCs w:val="20"/>
        </w:rPr>
      </w:pPr>
      <w:r w:rsidRPr="009F66AC">
        <w:rPr>
          <w:rFonts w:asciiTheme="majorBidi" w:hAnsiTheme="majorBidi" w:cstheme="majorBidi"/>
          <w:sz w:val="20"/>
          <w:szCs w:val="20"/>
        </w:rPr>
        <w:t xml:space="preserve">Baumann, H., Boons, F., </w:t>
      </w:r>
      <w:proofErr w:type="spellStart"/>
      <w:r w:rsidRPr="009F66AC">
        <w:rPr>
          <w:rFonts w:asciiTheme="majorBidi" w:hAnsiTheme="majorBidi" w:cstheme="majorBidi"/>
          <w:sz w:val="20"/>
          <w:szCs w:val="20"/>
        </w:rPr>
        <w:t>Bragd</w:t>
      </w:r>
      <w:proofErr w:type="spellEnd"/>
      <w:r w:rsidRPr="009F66AC">
        <w:rPr>
          <w:rFonts w:asciiTheme="majorBidi" w:hAnsiTheme="majorBidi" w:cstheme="majorBidi"/>
          <w:sz w:val="20"/>
          <w:szCs w:val="20"/>
        </w:rPr>
        <w:t>, A., 2002. Mapping the green product development fi</w:t>
      </w:r>
      <w:r>
        <w:rPr>
          <w:rFonts w:asciiTheme="majorBidi" w:hAnsiTheme="majorBidi" w:cstheme="majorBidi"/>
          <w:sz w:val="20"/>
          <w:szCs w:val="20"/>
        </w:rPr>
        <w:t xml:space="preserve">eld: </w:t>
      </w:r>
      <w:r w:rsidRPr="009F66AC">
        <w:rPr>
          <w:rFonts w:asciiTheme="majorBidi" w:hAnsiTheme="majorBidi" w:cstheme="majorBidi"/>
          <w:sz w:val="20"/>
          <w:szCs w:val="20"/>
        </w:rPr>
        <w:t>engineering, policy and business perspectives. J. Clean. Prod. 10, 409–425.</w:t>
      </w:r>
    </w:p>
    <w:p w:rsidR="00EF191F" w:rsidRPr="009F66AC" w:rsidRDefault="00EF191F" w:rsidP="00EF191F">
      <w:pPr>
        <w:bidi w:val="0"/>
        <w:spacing w:before="120" w:after="120"/>
        <w:ind w:firstLine="720"/>
        <w:rPr>
          <w:rFonts w:asciiTheme="majorBidi" w:hAnsiTheme="majorBidi" w:cstheme="majorBidi"/>
          <w:sz w:val="20"/>
          <w:szCs w:val="20"/>
        </w:rPr>
      </w:pPr>
      <w:proofErr w:type="spellStart"/>
      <w:r w:rsidRPr="009F66AC">
        <w:rPr>
          <w:rFonts w:asciiTheme="majorBidi" w:hAnsiTheme="majorBidi" w:cstheme="majorBidi"/>
          <w:sz w:val="20"/>
          <w:szCs w:val="20"/>
        </w:rPr>
        <w:t>Benoît</w:t>
      </w:r>
      <w:proofErr w:type="spellEnd"/>
      <w:r w:rsidRPr="009F66AC">
        <w:rPr>
          <w:rFonts w:asciiTheme="majorBidi" w:hAnsiTheme="majorBidi" w:cstheme="majorBidi"/>
          <w:sz w:val="20"/>
          <w:szCs w:val="20"/>
        </w:rPr>
        <w:t xml:space="preserve">, C., Norris, G.A., Valdivia, S., </w:t>
      </w:r>
      <w:proofErr w:type="spellStart"/>
      <w:r w:rsidRPr="009F66AC">
        <w:rPr>
          <w:rFonts w:asciiTheme="majorBidi" w:hAnsiTheme="majorBidi" w:cstheme="majorBidi"/>
          <w:sz w:val="20"/>
          <w:szCs w:val="20"/>
        </w:rPr>
        <w:t>Ciroth</w:t>
      </w:r>
      <w:proofErr w:type="spellEnd"/>
      <w:r w:rsidRPr="009F66AC">
        <w:rPr>
          <w:rFonts w:asciiTheme="majorBidi" w:hAnsiTheme="majorBidi" w:cstheme="majorBidi"/>
          <w:sz w:val="20"/>
          <w:szCs w:val="20"/>
        </w:rPr>
        <w:t xml:space="preserve">, A., </w:t>
      </w:r>
      <w:proofErr w:type="spellStart"/>
      <w:r w:rsidRPr="009F66AC">
        <w:rPr>
          <w:rFonts w:asciiTheme="majorBidi" w:hAnsiTheme="majorBidi" w:cstheme="majorBidi"/>
          <w:sz w:val="20"/>
          <w:szCs w:val="20"/>
        </w:rPr>
        <w:t>Moberg</w:t>
      </w:r>
      <w:proofErr w:type="spellEnd"/>
      <w:r w:rsidRPr="009F66AC">
        <w:rPr>
          <w:rFonts w:asciiTheme="majorBidi" w:hAnsiTheme="majorBidi" w:cstheme="majorBidi"/>
          <w:sz w:val="20"/>
          <w:szCs w:val="20"/>
        </w:rPr>
        <w:t xml:space="preserve">, A., </w:t>
      </w:r>
      <w:proofErr w:type="spellStart"/>
      <w:r w:rsidRPr="009F66AC">
        <w:rPr>
          <w:rFonts w:asciiTheme="majorBidi" w:hAnsiTheme="majorBidi" w:cstheme="majorBidi"/>
          <w:sz w:val="20"/>
          <w:szCs w:val="20"/>
        </w:rPr>
        <w:t>Bos</w:t>
      </w:r>
      <w:proofErr w:type="spellEnd"/>
      <w:r w:rsidRPr="009F66AC">
        <w:rPr>
          <w:rFonts w:asciiTheme="majorBidi" w:hAnsiTheme="majorBidi" w:cstheme="majorBidi"/>
          <w:sz w:val="20"/>
          <w:szCs w:val="20"/>
        </w:rPr>
        <w:t xml:space="preserve">, U., </w:t>
      </w:r>
      <w:proofErr w:type="spellStart"/>
      <w:r w:rsidRPr="009F66AC">
        <w:rPr>
          <w:rFonts w:asciiTheme="majorBidi" w:hAnsiTheme="majorBidi" w:cstheme="majorBidi"/>
          <w:sz w:val="20"/>
          <w:szCs w:val="20"/>
        </w:rPr>
        <w:t>Prakash</w:t>
      </w:r>
      <w:proofErr w:type="spellEnd"/>
      <w:r w:rsidRPr="009F66AC">
        <w:rPr>
          <w:rFonts w:asciiTheme="majorBidi" w:hAnsiTheme="majorBidi" w:cstheme="majorBidi"/>
          <w:sz w:val="20"/>
          <w:szCs w:val="20"/>
        </w:rPr>
        <w:t xml:space="preserve">, S., </w:t>
      </w:r>
      <w:proofErr w:type="spellStart"/>
      <w:r w:rsidRPr="009F66AC">
        <w:rPr>
          <w:rFonts w:asciiTheme="majorBidi" w:hAnsiTheme="majorBidi" w:cstheme="majorBidi"/>
          <w:sz w:val="20"/>
          <w:szCs w:val="20"/>
        </w:rPr>
        <w:t>Ugaya</w:t>
      </w:r>
      <w:proofErr w:type="spellEnd"/>
      <w:r w:rsidRPr="009F66AC">
        <w:rPr>
          <w:rFonts w:asciiTheme="majorBidi" w:hAnsiTheme="majorBidi" w:cstheme="majorBidi"/>
          <w:sz w:val="20"/>
          <w:szCs w:val="20"/>
        </w:rPr>
        <w:t>,</w:t>
      </w:r>
      <w:r>
        <w:rPr>
          <w:rFonts w:asciiTheme="majorBidi" w:hAnsiTheme="majorBidi" w:cstheme="majorBidi"/>
          <w:sz w:val="20"/>
          <w:szCs w:val="20"/>
        </w:rPr>
        <w:t xml:space="preserve"> C., Beck, T., 2010. The </w:t>
      </w:r>
      <w:r w:rsidRPr="009F66AC">
        <w:rPr>
          <w:rFonts w:asciiTheme="majorBidi" w:hAnsiTheme="majorBidi" w:cstheme="majorBidi"/>
          <w:sz w:val="20"/>
          <w:szCs w:val="20"/>
        </w:rPr>
        <w:t xml:space="preserve">guidelines for social life cycle </w:t>
      </w:r>
      <w:r>
        <w:rPr>
          <w:rFonts w:asciiTheme="majorBidi" w:hAnsiTheme="majorBidi" w:cstheme="majorBidi"/>
          <w:sz w:val="20"/>
          <w:szCs w:val="20"/>
        </w:rPr>
        <w:t xml:space="preserve">assessment of products: just in </w:t>
      </w:r>
      <w:r w:rsidRPr="009F66AC">
        <w:rPr>
          <w:rFonts w:asciiTheme="majorBidi" w:hAnsiTheme="majorBidi" w:cstheme="majorBidi"/>
          <w:sz w:val="20"/>
          <w:szCs w:val="20"/>
        </w:rPr>
        <w:t xml:space="preserve">time!. Int. </w:t>
      </w:r>
      <w:proofErr w:type="spellStart"/>
      <w:r w:rsidRPr="009F66AC">
        <w:rPr>
          <w:rFonts w:asciiTheme="majorBidi" w:hAnsiTheme="majorBidi" w:cstheme="majorBidi"/>
          <w:sz w:val="20"/>
          <w:szCs w:val="20"/>
        </w:rPr>
        <w:t>J.Life</w:t>
      </w:r>
      <w:proofErr w:type="spellEnd"/>
      <w:r w:rsidRPr="009F66AC">
        <w:rPr>
          <w:rFonts w:asciiTheme="majorBidi" w:hAnsiTheme="majorBidi" w:cstheme="majorBidi"/>
          <w:sz w:val="20"/>
          <w:szCs w:val="20"/>
        </w:rPr>
        <w:t xml:space="preserve"> Cycle Assess. 15, 156–163.</w:t>
      </w:r>
    </w:p>
    <w:p w:rsidR="00EF191F" w:rsidRPr="009F66AC" w:rsidRDefault="00EF191F" w:rsidP="00EF191F">
      <w:pPr>
        <w:bidi w:val="0"/>
        <w:spacing w:before="120" w:after="120"/>
        <w:ind w:firstLine="720"/>
        <w:rPr>
          <w:rFonts w:asciiTheme="majorBidi" w:hAnsiTheme="majorBidi" w:cstheme="majorBidi"/>
          <w:sz w:val="20"/>
          <w:szCs w:val="20"/>
        </w:rPr>
      </w:pPr>
      <w:proofErr w:type="spellStart"/>
      <w:r w:rsidRPr="009F66AC">
        <w:rPr>
          <w:rFonts w:asciiTheme="majorBidi" w:hAnsiTheme="majorBidi" w:cstheme="majorBidi"/>
          <w:sz w:val="20"/>
          <w:szCs w:val="20"/>
        </w:rPr>
        <w:t>Benoît</w:t>
      </w:r>
      <w:proofErr w:type="spellEnd"/>
      <w:r w:rsidRPr="009F66AC">
        <w:rPr>
          <w:rFonts w:asciiTheme="majorBidi" w:hAnsiTheme="majorBidi" w:cstheme="majorBidi"/>
          <w:sz w:val="20"/>
          <w:szCs w:val="20"/>
        </w:rPr>
        <w:t>-Norris, C., Vickery-</w:t>
      </w:r>
      <w:proofErr w:type="spellStart"/>
      <w:r w:rsidRPr="009F66AC">
        <w:rPr>
          <w:rFonts w:asciiTheme="majorBidi" w:hAnsiTheme="majorBidi" w:cstheme="majorBidi"/>
          <w:sz w:val="20"/>
          <w:szCs w:val="20"/>
        </w:rPr>
        <w:t>Niederman</w:t>
      </w:r>
      <w:proofErr w:type="spellEnd"/>
      <w:r w:rsidRPr="009F66AC">
        <w:rPr>
          <w:rFonts w:asciiTheme="majorBidi" w:hAnsiTheme="majorBidi" w:cstheme="majorBidi"/>
          <w:sz w:val="20"/>
          <w:szCs w:val="20"/>
        </w:rPr>
        <w:t xml:space="preserve">, G., Valdivia, S., </w:t>
      </w:r>
      <w:proofErr w:type="spellStart"/>
      <w:r w:rsidRPr="009F66AC">
        <w:rPr>
          <w:rFonts w:asciiTheme="majorBidi" w:hAnsiTheme="majorBidi" w:cstheme="majorBidi"/>
          <w:sz w:val="20"/>
          <w:szCs w:val="20"/>
        </w:rPr>
        <w:t>Franze</w:t>
      </w:r>
      <w:proofErr w:type="spellEnd"/>
      <w:r>
        <w:rPr>
          <w:rFonts w:asciiTheme="majorBidi" w:hAnsiTheme="majorBidi" w:cstheme="majorBidi"/>
          <w:sz w:val="20"/>
          <w:szCs w:val="20"/>
        </w:rPr>
        <w:t xml:space="preserve">, J., </w:t>
      </w:r>
      <w:proofErr w:type="spellStart"/>
      <w:r>
        <w:rPr>
          <w:rFonts w:asciiTheme="majorBidi" w:hAnsiTheme="majorBidi" w:cstheme="majorBidi"/>
          <w:sz w:val="20"/>
          <w:szCs w:val="20"/>
        </w:rPr>
        <w:t>Traverso</w:t>
      </w:r>
      <w:proofErr w:type="spellEnd"/>
      <w:r>
        <w:rPr>
          <w:rFonts w:asciiTheme="majorBidi" w:hAnsiTheme="majorBidi" w:cstheme="majorBidi"/>
          <w:sz w:val="20"/>
          <w:szCs w:val="20"/>
        </w:rPr>
        <w:t xml:space="preserve">, M., </w:t>
      </w:r>
      <w:proofErr w:type="spellStart"/>
      <w:r>
        <w:rPr>
          <w:rFonts w:asciiTheme="majorBidi" w:hAnsiTheme="majorBidi" w:cstheme="majorBidi"/>
          <w:sz w:val="20"/>
          <w:szCs w:val="20"/>
        </w:rPr>
        <w:t>Ciroth</w:t>
      </w:r>
      <w:proofErr w:type="spellEnd"/>
      <w:r>
        <w:rPr>
          <w:rFonts w:asciiTheme="majorBidi" w:hAnsiTheme="majorBidi" w:cstheme="majorBidi"/>
          <w:sz w:val="20"/>
          <w:szCs w:val="20"/>
        </w:rPr>
        <w:t xml:space="preserve">, A., </w:t>
      </w:r>
      <w:proofErr w:type="spellStart"/>
      <w:r w:rsidRPr="009F66AC">
        <w:rPr>
          <w:rFonts w:asciiTheme="majorBidi" w:hAnsiTheme="majorBidi" w:cstheme="majorBidi"/>
          <w:sz w:val="20"/>
          <w:szCs w:val="20"/>
        </w:rPr>
        <w:t>Mazijn</w:t>
      </w:r>
      <w:proofErr w:type="spellEnd"/>
      <w:r w:rsidRPr="009F66AC">
        <w:rPr>
          <w:rFonts w:asciiTheme="majorBidi" w:hAnsiTheme="majorBidi" w:cstheme="majorBidi"/>
          <w:sz w:val="20"/>
          <w:szCs w:val="20"/>
        </w:rPr>
        <w:t>, B., 2011. Introducing the UNEP/SETAC methodol</w:t>
      </w:r>
      <w:r>
        <w:rPr>
          <w:rFonts w:asciiTheme="majorBidi" w:hAnsiTheme="majorBidi" w:cstheme="majorBidi"/>
          <w:sz w:val="20"/>
          <w:szCs w:val="20"/>
        </w:rPr>
        <w:t xml:space="preserve">ogical sheets for subcategories </w:t>
      </w:r>
      <w:r w:rsidRPr="009F66AC">
        <w:rPr>
          <w:rFonts w:asciiTheme="majorBidi" w:hAnsiTheme="majorBidi" w:cstheme="majorBidi"/>
          <w:sz w:val="20"/>
          <w:szCs w:val="20"/>
        </w:rPr>
        <w:t>of social LCA. Int. J. Life Cycle Assess. 16, 682–690.</w:t>
      </w:r>
    </w:p>
    <w:p w:rsidR="00EF191F" w:rsidRPr="009F66AC" w:rsidRDefault="00EF191F" w:rsidP="00EF191F">
      <w:pPr>
        <w:bidi w:val="0"/>
        <w:spacing w:before="120" w:after="120"/>
        <w:ind w:firstLine="720"/>
        <w:rPr>
          <w:rFonts w:asciiTheme="majorBidi" w:hAnsiTheme="majorBidi" w:cstheme="majorBidi"/>
          <w:sz w:val="20"/>
          <w:szCs w:val="20"/>
        </w:rPr>
      </w:pPr>
      <w:proofErr w:type="spellStart"/>
      <w:r w:rsidRPr="009F66AC">
        <w:rPr>
          <w:rFonts w:asciiTheme="majorBidi" w:hAnsiTheme="majorBidi" w:cstheme="majorBidi"/>
          <w:sz w:val="20"/>
          <w:szCs w:val="20"/>
        </w:rPr>
        <w:t>Bereketli</w:t>
      </w:r>
      <w:proofErr w:type="spellEnd"/>
      <w:r w:rsidRPr="009F66AC">
        <w:rPr>
          <w:rFonts w:asciiTheme="majorBidi" w:hAnsiTheme="majorBidi" w:cstheme="majorBidi"/>
          <w:sz w:val="20"/>
          <w:szCs w:val="20"/>
        </w:rPr>
        <w:t xml:space="preserve">, I., </w:t>
      </w:r>
      <w:proofErr w:type="spellStart"/>
      <w:r w:rsidRPr="009F66AC">
        <w:rPr>
          <w:rFonts w:asciiTheme="majorBidi" w:hAnsiTheme="majorBidi" w:cstheme="majorBidi"/>
          <w:sz w:val="20"/>
          <w:szCs w:val="20"/>
        </w:rPr>
        <w:t>Genevois</w:t>
      </w:r>
      <w:proofErr w:type="spellEnd"/>
      <w:r w:rsidRPr="009F66AC">
        <w:rPr>
          <w:rFonts w:asciiTheme="majorBidi" w:hAnsiTheme="majorBidi" w:cstheme="majorBidi"/>
          <w:sz w:val="20"/>
          <w:szCs w:val="20"/>
        </w:rPr>
        <w:t>, M.E., 2013. An integrated QFDE appro</w:t>
      </w:r>
      <w:r>
        <w:rPr>
          <w:rFonts w:asciiTheme="majorBidi" w:hAnsiTheme="majorBidi" w:cstheme="majorBidi"/>
          <w:sz w:val="20"/>
          <w:szCs w:val="20"/>
        </w:rPr>
        <w:t xml:space="preserve">ach for identifying improvement </w:t>
      </w:r>
      <w:r w:rsidRPr="009F66AC">
        <w:rPr>
          <w:rFonts w:asciiTheme="majorBidi" w:hAnsiTheme="majorBidi" w:cstheme="majorBidi"/>
          <w:sz w:val="20"/>
          <w:szCs w:val="20"/>
        </w:rPr>
        <w:t>strategies in sustainable product d</w:t>
      </w:r>
      <w:r>
        <w:rPr>
          <w:rFonts w:asciiTheme="majorBidi" w:hAnsiTheme="majorBidi" w:cstheme="majorBidi"/>
          <w:sz w:val="20"/>
          <w:szCs w:val="20"/>
        </w:rPr>
        <w:t xml:space="preserve">evelopment. J. Clean. Prod. 54, </w:t>
      </w:r>
      <w:r w:rsidRPr="009F66AC">
        <w:rPr>
          <w:rFonts w:asciiTheme="majorBidi" w:hAnsiTheme="majorBidi" w:cstheme="majorBidi"/>
          <w:sz w:val="20"/>
          <w:szCs w:val="20"/>
        </w:rPr>
        <w:t>188–198.</w:t>
      </w:r>
    </w:p>
    <w:p w:rsidR="00EF191F" w:rsidRPr="009F66AC" w:rsidRDefault="00EF191F" w:rsidP="00EF191F">
      <w:pPr>
        <w:bidi w:val="0"/>
        <w:spacing w:before="120" w:after="120"/>
        <w:ind w:firstLine="720"/>
        <w:rPr>
          <w:rFonts w:asciiTheme="majorBidi" w:hAnsiTheme="majorBidi" w:cstheme="majorBidi"/>
          <w:sz w:val="20"/>
          <w:szCs w:val="20"/>
        </w:rPr>
      </w:pPr>
      <w:proofErr w:type="spellStart"/>
      <w:r w:rsidRPr="009F66AC">
        <w:rPr>
          <w:rFonts w:asciiTheme="majorBidi" w:hAnsiTheme="majorBidi" w:cstheme="majorBidi"/>
          <w:sz w:val="20"/>
          <w:szCs w:val="20"/>
        </w:rPr>
        <w:t>Bovea</w:t>
      </w:r>
      <w:proofErr w:type="spellEnd"/>
      <w:r w:rsidRPr="009F66AC">
        <w:rPr>
          <w:rFonts w:asciiTheme="majorBidi" w:hAnsiTheme="majorBidi" w:cstheme="majorBidi"/>
          <w:sz w:val="20"/>
          <w:szCs w:val="20"/>
        </w:rPr>
        <w:t>, M., Pérez-</w:t>
      </w:r>
      <w:proofErr w:type="spellStart"/>
      <w:r w:rsidRPr="009F66AC">
        <w:rPr>
          <w:rFonts w:asciiTheme="majorBidi" w:hAnsiTheme="majorBidi" w:cstheme="majorBidi"/>
          <w:sz w:val="20"/>
          <w:szCs w:val="20"/>
        </w:rPr>
        <w:t>Belis</w:t>
      </w:r>
      <w:proofErr w:type="spellEnd"/>
      <w:r w:rsidRPr="009F66AC">
        <w:rPr>
          <w:rFonts w:asciiTheme="majorBidi" w:hAnsiTheme="majorBidi" w:cstheme="majorBidi"/>
          <w:sz w:val="20"/>
          <w:szCs w:val="20"/>
        </w:rPr>
        <w:t xml:space="preserve">, V., 2012. A taxonomy of </w:t>
      </w:r>
      <w:proofErr w:type="spellStart"/>
      <w:r w:rsidRPr="009F66AC">
        <w:rPr>
          <w:rFonts w:asciiTheme="majorBidi" w:hAnsiTheme="majorBidi" w:cstheme="majorBidi"/>
          <w:sz w:val="20"/>
          <w:szCs w:val="20"/>
        </w:rPr>
        <w:t>ecodesign</w:t>
      </w:r>
      <w:proofErr w:type="spellEnd"/>
      <w:r w:rsidRPr="009F66AC">
        <w:rPr>
          <w:rFonts w:asciiTheme="majorBidi" w:hAnsiTheme="majorBidi" w:cstheme="majorBidi"/>
          <w:sz w:val="20"/>
          <w:szCs w:val="20"/>
        </w:rPr>
        <w:t xml:space="preserve"> tool</w:t>
      </w:r>
      <w:r>
        <w:rPr>
          <w:rFonts w:asciiTheme="majorBidi" w:hAnsiTheme="majorBidi" w:cstheme="majorBidi"/>
          <w:sz w:val="20"/>
          <w:szCs w:val="20"/>
        </w:rPr>
        <w:t xml:space="preserve">s for integrating environmental requirements into the </w:t>
      </w:r>
      <w:r w:rsidRPr="009F66AC">
        <w:rPr>
          <w:rFonts w:asciiTheme="majorBidi" w:hAnsiTheme="majorBidi" w:cstheme="majorBidi"/>
          <w:sz w:val="20"/>
          <w:szCs w:val="20"/>
        </w:rPr>
        <w:t>product design process. J. Clean. Prod. 20, 61–71.</w:t>
      </w:r>
    </w:p>
    <w:p w:rsidR="00EF191F" w:rsidRPr="009F66AC" w:rsidRDefault="00EF191F" w:rsidP="00EF191F">
      <w:pPr>
        <w:bidi w:val="0"/>
        <w:spacing w:before="120" w:after="120"/>
        <w:ind w:firstLine="720"/>
        <w:rPr>
          <w:rFonts w:asciiTheme="majorBidi" w:hAnsiTheme="majorBidi" w:cstheme="majorBidi"/>
          <w:sz w:val="20"/>
          <w:szCs w:val="20"/>
        </w:rPr>
      </w:pPr>
      <w:proofErr w:type="spellStart"/>
      <w:r w:rsidRPr="009F66AC">
        <w:rPr>
          <w:rFonts w:asciiTheme="majorBidi" w:hAnsiTheme="majorBidi" w:cstheme="majorBidi"/>
          <w:sz w:val="20"/>
          <w:szCs w:val="20"/>
        </w:rPr>
        <w:t>Boyko</w:t>
      </w:r>
      <w:proofErr w:type="spellEnd"/>
      <w:r w:rsidRPr="009F66AC">
        <w:rPr>
          <w:rFonts w:asciiTheme="majorBidi" w:hAnsiTheme="majorBidi" w:cstheme="majorBidi"/>
          <w:sz w:val="20"/>
          <w:szCs w:val="20"/>
        </w:rPr>
        <w:t>, C., 2009. The urban design decision making proce</w:t>
      </w:r>
      <w:r>
        <w:rPr>
          <w:rFonts w:asciiTheme="majorBidi" w:hAnsiTheme="majorBidi" w:cstheme="majorBidi"/>
          <w:sz w:val="20"/>
          <w:szCs w:val="20"/>
        </w:rPr>
        <w:t xml:space="preserve">ss: a new approach. In: Cooper, </w:t>
      </w:r>
      <w:r w:rsidRPr="009F66AC">
        <w:rPr>
          <w:rFonts w:asciiTheme="majorBidi" w:hAnsiTheme="majorBidi" w:cstheme="majorBidi"/>
          <w:sz w:val="20"/>
          <w:szCs w:val="20"/>
        </w:rPr>
        <w:t xml:space="preserve">R., Evans, G., </w:t>
      </w:r>
      <w:proofErr w:type="spellStart"/>
      <w:r w:rsidRPr="009F66AC">
        <w:rPr>
          <w:rFonts w:asciiTheme="majorBidi" w:hAnsiTheme="majorBidi" w:cstheme="majorBidi"/>
          <w:sz w:val="20"/>
          <w:szCs w:val="20"/>
        </w:rPr>
        <w:t>Boyko</w:t>
      </w:r>
      <w:proofErr w:type="spellEnd"/>
      <w:r w:rsidRPr="009F66AC">
        <w:rPr>
          <w:rFonts w:asciiTheme="majorBidi" w:hAnsiTheme="majorBidi" w:cstheme="majorBidi"/>
          <w:sz w:val="20"/>
          <w:szCs w:val="20"/>
        </w:rPr>
        <w:t>, C. (Eds.), Designing Susta</w:t>
      </w:r>
      <w:r>
        <w:rPr>
          <w:rFonts w:asciiTheme="majorBidi" w:hAnsiTheme="majorBidi" w:cstheme="majorBidi"/>
          <w:sz w:val="20"/>
          <w:szCs w:val="20"/>
        </w:rPr>
        <w:t xml:space="preserve">inable Cities. Wiley-Blackwell, </w:t>
      </w:r>
      <w:proofErr w:type="spellStart"/>
      <w:r w:rsidRPr="009F66AC">
        <w:rPr>
          <w:rFonts w:asciiTheme="majorBidi" w:hAnsiTheme="majorBidi" w:cstheme="majorBidi"/>
          <w:sz w:val="20"/>
          <w:szCs w:val="20"/>
        </w:rPr>
        <w:t>Chicester</w:t>
      </w:r>
      <w:proofErr w:type="spellEnd"/>
      <w:r w:rsidRPr="009F66AC">
        <w:rPr>
          <w:rFonts w:asciiTheme="majorBidi" w:hAnsiTheme="majorBidi" w:cstheme="majorBidi"/>
          <w:sz w:val="20"/>
          <w:szCs w:val="20"/>
        </w:rPr>
        <w:t xml:space="preserve"> UK, pp. 43–50.</w:t>
      </w:r>
    </w:p>
    <w:p w:rsidR="00EF191F" w:rsidRPr="009F66AC" w:rsidRDefault="00EF191F" w:rsidP="00EF191F">
      <w:pPr>
        <w:bidi w:val="0"/>
        <w:spacing w:before="120" w:after="120"/>
        <w:ind w:firstLine="720"/>
        <w:rPr>
          <w:rFonts w:asciiTheme="majorBidi" w:hAnsiTheme="majorBidi" w:cstheme="majorBidi"/>
          <w:sz w:val="20"/>
          <w:szCs w:val="20"/>
        </w:rPr>
      </w:pPr>
      <w:proofErr w:type="spellStart"/>
      <w:r w:rsidRPr="009F66AC">
        <w:rPr>
          <w:rFonts w:asciiTheme="majorBidi" w:hAnsiTheme="majorBidi" w:cstheme="majorBidi"/>
          <w:sz w:val="20"/>
          <w:szCs w:val="20"/>
        </w:rPr>
        <w:t>Buchert</w:t>
      </w:r>
      <w:proofErr w:type="spellEnd"/>
      <w:r w:rsidRPr="009F66AC">
        <w:rPr>
          <w:rFonts w:asciiTheme="majorBidi" w:hAnsiTheme="majorBidi" w:cstheme="majorBidi"/>
          <w:sz w:val="20"/>
          <w:szCs w:val="20"/>
        </w:rPr>
        <w:t xml:space="preserve">, T., </w:t>
      </w:r>
      <w:proofErr w:type="spellStart"/>
      <w:r w:rsidRPr="009F66AC">
        <w:rPr>
          <w:rFonts w:asciiTheme="majorBidi" w:hAnsiTheme="majorBidi" w:cstheme="majorBidi"/>
          <w:sz w:val="20"/>
          <w:szCs w:val="20"/>
        </w:rPr>
        <w:t>Kaluza</w:t>
      </w:r>
      <w:proofErr w:type="spellEnd"/>
      <w:r w:rsidRPr="009F66AC">
        <w:rPr>
          <w:rFonts w:asciiTheme="majorBidi" w:hAnsiTheme="majorBidi" w:cstheme="majorBidi"/>
          <w:sz w:val="20"/>
          <w:szCs w:val="20"/>
        </w:rPr>
        <w:t xml:space="preserve">, A., </w:t>
      </w:r>
      <w:proofErr w:type="spellStart"/>
      <w:r w:rsidRPr="009F66AC">
        <w:rPr>
          <w:rFonts w:asciiTheme="majorBidi" w:hAnsiTheme="majorBidi" w:cstheme="majorBidi"/>
          <w:sz w:val="20"/>
          <w:szCs w:val="20"/>
        </w:rPr>
        <w:t>Halstenberg</w:t>
      </w:r>
      <w:proofErr w:type="spellEnd"/>
      <w:r w:rsidRPr="009F66AC">
        <w:rPr>
          <w:rFonts w:asciiTheme="majorBidi" w:hAnsiTheme="majorBidi" w:cstheme="majorBidi"/>
          <w:sz w:val="20"/>
          <w:szCs w:val="20"/>
        </w:rPr>
        <w:t xml:space="preserve">, F.A., </w:t>
      </w:r>
      <w:proofErr w:type="spellStart"/>
      <w:r w:rsidRPr="009F66AC">
        <w:rPr>
          <w:rFonts w:asciiTheme="majorBidi" w:hAnsiTheme="majorBidi" w:cstheme="majorBidi"/>
          <w:sz w:val="20"/>
          <w:szCs w:val="20"/>
        </w:rPr>
        <w:t>Lindow</w:t>
      </w:r>
      <w:proofErr w:type="spellEnd"/>
      <w:r w:rsidRPr="009F66AC">
        <w:rPr>
          <w:rFonts w:asciiTheme="majorBidi" w:hAnsiTheme="majorBidi" w:cstheme="majorBidi"/>
          <w:sz w:val="20"/>
          <w:szCs w:val="20"/>
        </w:rPr>
        <w:t xml:space="preserve">, </w:t>
      </w:r>
      <w:r>
        <w:rPr>
          <w:rFonts w:asciiTheme="majorBidi" w:hAnsiTheme="majorBidi" w:cstheme="majorBidi"/>
          <w:sz w:val="20"/>
          <w:szCs w:val="20"/>
        </w:rPr>
        <w:t xml:space="preserve">K., </w:t>
      </w:r>
      <w:proofErr w:type="spellStart"/>
      <w:r>
        <w:rPr>
          <w:rFonts w:asciiTheme="majorBidi" w:hAnsiTheme="majorBidi" w:cstheme="majorBidi"/>
          <w:sz w:val="20"/>
          <w:szCs w:val="20"/>
        </w:rPr>
        <w:t>Hayka</w:t>
      </w:r>
      <w:proofErr w:type="spellEnd"/>
      <w:r>
        <w:rPr>
          <w:rFonts w:asciiTheme="majorBidi" w:hAnsiTheme="majorBidi" w:cstheme="majorBidi"/>
          <w:sz w:val="20"/>
          <w:szCs w:val="20"/>
        </w:rPr>
        <w:t xml:space="preserve">, H., Stark, R., 2014. </w:t>
      </w:r>
      <w:r w:rsidRPr="009F66AC">
        <w:rPr>
          <w:rFonts w:asciiTheme="majorBidi" w:hAnsiTheme="majorBidi" w:cstheme="majorBidi"/>
          <w:sz w:val="20"/>
          <w:szCs w:val="20"/>
        </w:rPr>
        <w:t xml:space="preserve">Enabling product development engineers to select and </w:t>
      </w:r>
      <w:r>
        <w:rPr>
          <w:rFonts w:asciiTheme="majorBidi" w:hAnsiTheme="majorBidi" w:cstheme="majorBidi"/>
          <w:sz w:val="20"/>
          <w:szCs w:val="20"/>
        </w:rPr>
        <w:t xml:space="preserve">combine methods for sustainable </w:t>
      </w:r>
      <w:r w:rsidRPr="009F66AC">
        <w:rPr>
          <w:rFonts w:asciiTheme="majorBidi" w:hAnsiTheme="majorBidi" w:cstheme="majorBidi"/>
          <w:sz w:val="20"/>
          <w:szCs w:val="20"/>
        </w:rPr>
        <w:t xml:space="preserve">design. </w:t>
      </w:r>
      <w:proofErr w:type="spellStart"/>
      <w:r w:rsidRPr="009F66AC">
        <w:rPr>
          <w:rFonts w:asciiTheme="majorBidi" w:hAnsiTheme="majorBidi" w:cstheme="majorBidi"/>
          <w:sz w:val="20"/>
          <w:szCs w:val="20"/>
        </w:rPr>
        <w:t>Procedia</w:t>
      </w:r>
      <w:proofErr w:type="spellEnd"/>
      <w:r w:rsidRPr="009F66AC">
        <w:rPr>
          <w:rFonts w:asciiTheme="majorBidi" w:hAnsiTheme="majorBidi" w:cstheme="majorBidi"/>
          <w:sz w:val="20"/>
          <w:szCs w:val="20"/>
        </w:rPr>
        <w:t xml:space="preserve"> CIRP 15, 413–418.</w:t>
      </w:r>
    </w:p>
    <w:p w:rsidR="00EF191F" w:rsidRPr="009F66AC" w:rsidRDefault="00EF191F" w:rsidP="00EF191F">
      <w:pPr>
        <w:bidi w:val="0"/>
        <w:spacing w:before="120" w:after="120"/>
        <w:ind w:firstLine="720"/>
        <w:rPr>
          <w:rFonts w:asciiTheme="majorBidi" w:hAnsiTheme="majorBidi" w:cstheme="majorBidi"/>
          <w:sz w:val="20"/>
          <w:szCs w:val="20"/>
        </w:rPr>
      </w:pPr>
      <w:proofErr w:type="spellStart"/>
      <w:r w:rsidRPr="009F66AC">
        <w:rPr>
          <w:rFonts w:asciiTheme="majorBidi" w:hAnsiTheme="majorBidi" w:cstheme="majorBidi"/>
          <w:sz w:val="20"/>
          <w:szCs w:val="20"/>
        </w:rPr>
        <w:t>Buchert</w:t>
      </w:r>
      <w:proofErr w:type="spellEnd"/>
      <w:r w:rsidRPr="009F66AC">
        <w:rPr>
          <w:rFonts w:asciiTheme="majorBidi" w:hAnsiTheme="majorBidi" w:cstheme="majorBidi"/>
          <w:sz w:val="20"/>
          <w:szCs w:val="20"/>
        </w:rPr>
        <w:t xml:space="preserve">, T., </w:t>
      </w:r>
      <w:proofErr w:type="spellStart"/>
      <w:r w:rsidRPr="009F66AC">
        <w:rPr>
          <w:rFonts w:asciiTheme="majorBidi" w:hAnsiTheme="majorBidi" w:cstheme="majorBidi"/>
          <w:sz w:val="20"/>
          <w:szCs w:val="20"/>
        </w:rPr>
        <w:t>Neugebauer</w:t>
      </w:r>
      <w:proofErr w:type="spellEnd"/>
      <w:r w:rsidRPr="009F66AC">
        <w:rPr>
          <w:rFonts w:asciiTheme="majorBidi" w:hAnsiTheme="majorBidi" w:cstheme="majorBidi"/>
          <w:sz w:val="20"/>
          <w:szCs w:val="20"/>
        </w:rPr>
        <w:t xml:space="preserve">, S., </w:t>
      </w:r>
      <w:proofErr w:type="spellStart"/>
      <w:r w:rsidRPr="009F66AC">
        <w:rPr>
          <w:rFonts w:asciiTheme="majorBidi" w:hAnsiTheme="majorBidi" w:cstheme="majorBidi"/>
          <w:sz w:val="20"/>
          <w:szCs w:val="20"/>
        </w:rPr>
        <w:t>Schenker</w:t>
      </w:r>
      <w:proofErr w:type="spellEnd"/>
      <w:r w:rsidRPr="009F66AC">
        <w:rPr>
          <w:rFonts w:asciiTheme="majorBidi" w:hAnsiTheme="majorBidi" w:cstheme="majorBidi"/>
          <w:sz w:val="20"/>
          <w:szCs w:val="20"/>
        </w:rPr>
        <w:t xml:space="preserve">, S., </w:t>
      </w:r>
      <w:proofErr w:type="spellStart"/>
      <w:r w:rsidRPr="009F66AC">
        <w:rPr>
          <w:rFonts w:asciiTheme="majorBidi" w:hAnsiTheme="majorBidi" w:cstheme="majorBidi"/>
          <w:sz w:val="20"/>
          <w:szCs w:val="20"/>
        </w:rPr>
        <w:t>Lindow</w:t>
      </w:r>
      <w:proofErr w:type="spellEnd"/>
      <w:r w:rsidRPr="009F66AC">
        <w:rPr>
          <w:rFonts w:asciiTheme="majorBidi" w:hAnsiTheme="majorBidi" w:cstheme="majorBidi"/>
          <w:sz w:val="20"/>
          <w:szCs w:val="20"/>
        </w:rPr>
        <w:t>, K., Stark, R.</w:t>
      </w:r>
      <w:r>
        <w:rPr>
          <w:rFonts w:asciiTheme="majorBidi" w:hAnsiTheme="majorBidi" w:cstheme="majorBidi"/>
          <w:sz w:val="20"/>
          <w:szCs w:val="20"/>
        </w:rPr>
        <w:t xml:space="preserve">, 2015. Multi-criteria decision </w:t>
      </w:r>
      <w:r w:rsidRPr="009F66AC">
        <w:rPr>
          <w:rFonts w:asciiTheme="majorBidi" w:hAnsiTheme="majorBidi" w:cstheme="majorBidi"/>
          <w:sz w:val="20"/>
          <w:szCs w:val="20"/>
        </w:rPr>
        <w:t>making as a tool for sustainable product development–benefi</w:t>
      </w:r>
      <w:r>
        <w:rPr>
          <w:rFonts w:asciiTheme="majorBidi" w:hAnsiTheme="majorBidi" w:cstheme="majorBidi"/>
          <w:sz w:val="20"/>
          <w:szCs w:val="20"/>
        </w:rPr>
        <w:t xml:space="preserve">ts and obstacles. </w:t>
      </w:r>
      <w:proofErr w:type="spellStart"/>
      <w:r w:rsidRPr="009F66AC">
        <w:rPr>
          <w:rFonts w:asciiTheme="majorBidi" w:hAnsiTheme="majorBidi" w:cstheme="majorBidi"/>
          <w:sz w:val="20"/>
          <w:szCs w:val="20"/>
        </w:rPr>
        <w:t>Procedia</w:t>
      </w:r>
      <w:proofErr w:type="spellEnd"/>
      <w:r w:rsidRPr="009F66AC">
        <w:rPr>
          <w:rFonts w:asciiTheme="majorBidi" w:hAnsiTheme="majorBidi" w:cstheme="majorBidi"/>
          <w:sz w:val="20"/>
          <w:szCs w:val="20"/>
        </w:rPr>
        <w:t xml:space="preserve"> CIRP 26, 70–75.</w:t>
      </w:r>
    </w:p>
    <w:p w:rsidR="00EF191F" w:rsidRPr="009F66AC" w:rsidRDefault="00EF191F" w:rsidP="00EF191F">
      <w:pPr>
        <w:bidi w:val="0"/>
        <w:spacing w:before="120" w:after="120"/>
        <w:ind w:firstLine="720"/>
        <w:rPr>
          <w:rFonts w:asciiTheme="majorBidi" w:hAnsiTheme="majorBidi" w:cstheme="majorBidi"/>
          <w:sz w:val="20"/>
          <w:szCs w:val="20"/>
        </w:rPr>
      </w:pPr>
      <w:proofErr w:type="spellStart"/>
      <w:r w:rsidRPr="009F66AC">
        <w:rPr>
          <w:rFonts w:asciiTheme="majorBidi" w:hAnsiTheme="majorBidi" w:cstheme="majorBidi"/>
          <w:sz w:val="20"/>
          <w:szCs w:val="20"/>
        </w:rPr>
        <w:t>Buchert</w:t>
      </w:r>
      <w:proofErr w:type="spellEnd"/>
      <w:r w:rsidRPr="009F66AC">
        <w:rPr>
          <w:rFonts w:asciiTheme="majorBidi" w:hAnsiTheme="majorBidi" w:cstheme="majorBidi"/>
          <w:sz w:val="20"/>
          <w:szCs w:val="20"/>
        </w:rPr>
        <w:t xml:space="preserve">, T., </w:t>
      </w:r>
      <w:proofErr w:type="spellStart"/>
      <w:r w:rsidRPr="009F66AC">
        <w:rPr>
          <w:rFonts w:asciiTheme="majorBidi" w:hAnsiTheme="majorBidi" w:cstheme="majorBidi"/>
          <w:sz w:val="20"/>
          <w:szCs w:val="20"/>
        </w:rPr>
        <w:t>Halstenberg</w:t>
      </w:r>
      <w:proofErr w:type="spellEnd"/>
      <w:r w:rsidRPr="009F66AC">
        <w:rPr>
          <w:rFonts w:asciiTheme="majorBidi" w:hAnsiTheme="majorBidi" w:cstheme="majorBidi"/>
          <w:sz w:val="20"/>
          <w:szCs w:val="20"/>
        </w:rPr>
        <w:t xml:space="preserve">, F.A., </w:t>
      </w:r>
      <w:proofErr w:type="spellStart"/>
      <w:r w:rsidRPr="009F66AC">
        <w:rPr>
          <w:rFonts w:asciiTheme="majorBidi" w:hAnsiTheme="majorBidi" w:cstheme="majorBidi"/>
          <w:sz w:val="20"/>
          <w:szCs w:val="20"/>
        </w:rPr>
        <w:t>Bonvoisin</w:t>
      </w:r>
      <w:proofErr w:type="spellEnd"/>
      <w:r w:rsidRPr="009F66AC">
        <w:rPr>
          <w:rFonts w:asciiTheme="majorBidi" w:hAnsiTheme="majorBidi" w:cstheme="majorBidi"/>
          <w:sz w:val="20"/>
          <w:szCs w:val="20"/>
        </w:rPr>
        <w:t xml:space="preserve">, J., </w:t>
      </w:r>
      <w:proofErr w:type="spellStart"/>
      <w:r w:rsidRPr="009F66AC">
        <w:rPr>
          <w:rFonts w:asciiTheme="majorBidi" w:hAnsiTheme="majorBidi" w:cstheme="majorBidi"/>
          <w:sz w:val="20"/>
          <w:szCs w:val="20"/>
        </w:rPr>
        <w:t>Lindow</w:t>
      </w:r>
      <w:proofErr w:type="spellEnd"/>
      <w:r w:rsidRPr="009F66AC">
        <w:rPr>
          <w:rFonts w:asciiTheme="majorBidi" w:hAnsiTheme="majorBidi" w:cstheme="majorBidi"/>
          <w:sz w:val="20"/>
          <w:szCs w:val="20"/>
        </w:rPr>
        <w:t>, K.,</w:t>
      </w:r>
      <w:r>
        <w:rPr>
          <w:rFonts w:asciiTheme="majorBidi" w:hAnsiTheme="majorBidi" w:cstheme="majorBidi"/>
          <w:sz w:val="20"/>
          <w:szCs w:val="20"/>
        </w:rPr>
        <w:t xml:space="preserve"> Stark, R., 2017. Target-driven </w:t>
      </w:r>
      <w:r w:rsidRPr="009F66AC">
        <w:rPr>
          <w:rFonts w:asciiTheme="majorBidi" w:hAnsiTheme="majorBidi" w:cstheme="majorBidi"/>
          <w:sz w:val="20"/>
          <w:szCs w:val="20"/>
        </w:rPr>
        <w:t>selection and scheduling of methods for sustainable</w:t>
      </w:r>
      <w:r>
        <w:rPr>
          <w:rFonts w:asciiTheme="majorBidi" w:hAnsiTheme="majorBidi" w:cstheme="majorBidi"/>
          <w:sz w:val="20"/>
          <w:szCs w:val="20"/>
        </w:rPr>
        <w:t xml:space="preserve"> product development. J. Clean. </w:t>
      </w:r>
      <w:r w:rsidRPr="009F66AC">
        <w:rPr>
          <w:rFonts w:asciiTheme="majorBidi" w:hAnsiTheme="majorBidi" w:cstheme="majorBidi"/>
          <w:sz w:val="20"/>
          <w:szCs w:val="20"/>
        </w:rPr>
        <w:t>Prod. 161, 403–421.</w:t>
      </w:r>
    </w:p>
    <w:p w:rsidR="00EF191F" w:rsidRPr="009F66AC" w:rsidRDefault="00EF191F" w:rsidP="00EF191F">
      <w:pPr>
        <w:bidi w:val="0"/>
        <w:spacing w:before="120" w:after="120"/>
        <w:ind w:firstLine="720"/>
        <w:rPr>
          <w:rFonts w:asciiTheme="majorBidi" w:hAnsiTheme="majorBidi" w:cstheme="majorBidi"/>
          <w:sz w:val="20"/>
          <w:szCs w:val="20"/>
        </w:rPr>
      </w:pPr>
      <w:proofErr w:type="spellStart"/>
      <w:r w:rsidRPr="009F66AC">
        <w:rPr>
          <w:rFonts w:asciiTheme="majorBidi" w:hAnsiTheme="majorBidi" w:cstheme="majorBidi"/>
          <w:sz w:val="20"/>
          <w:szCs w:val="20"/>
        </w:rPr>
        <w:t>Byggeth</w:t>
      </w:r>
      <w:proofErr w:type="spellEnd"/>
      <w:r w:rsidRPr="009F66AC">
        <w:rPr>
          <w:rFonts w:asciiTheme="majorBidi" w:hAnsiTheme="majorBidi" w:cstheme="majorBidi"/>
          <w:sz w:val="20"/>
          <w:szCs w:val="20"/>
        </w:rPr>
        <w:t xml:space="preserve">, S., Elisabeth, H., 2005. Handling trade-offs in </w:t>
      </w:r>
      <w:proofErr w:type="spellStart"/>
      <w:r>
        <w:rPr>
          <w:rFonts w:asciiTheme="majorBidi" w:hAnsiTheme="majorBidi" w:cstheme="majorBidi"/>
          <w:sz w:val="20"/>
          <w:szCs w:val="20"/>
        </w:rPr>
        <w:t>ecodesign</w:t>
      </w:r>
      <w:proofErr w:type="spellEnd"/>
      <w:r>
        <w:rPr>
          <w:rFonts w:asciiTheme="majorBidi" w:hAnsiTheme="majorBidi" w:cstheme="majorBidi"/>
          <w:sz w:val="20"/>
          <w:szCs w:val="20"/>
        </w:rPr>
        <w:t xml:space="preserve"> tools for sustainable </w:t>
      </w:r>
      <w:r w:rsidRPr="009F66AC">
        <w:rPr>
          <w:rFonts w:asciiTheme="majorBidi" w:hAnsiTheme="majorBidi" w:cstheme="majorBidi"/>
          <w:sz w:val="20"/>
          <w:szCs w:val="20"/>
        </w:rPr>
        <w:t>product development and procurement. J. Clean. Prod. 14, 1420–1430.</w:t>
      </w:r>
    </w:p>
    <w:p w:rsidR="00EF191F" w:rsidRPr="009F66AC" w:rsidRDefault="00EF191F" w:rsidP="00EF191F">
      <w:pPr>
        <w:bidi w:val="0"/>
        <w:spacing w:before="120" w:after="120"/>
        <w:ind w:firstLine="720"/>
        <w:rPr>
          <w:rFonts w:asciiTheme="majorBidi" w:hAnsiTheme="majorBidi" w:cstheme="majorBidi"/>
          <w:sz w:val="20"/>
          <w:szCs w:val="20"/>
        </w:rPr>
      </w:pPr>
      <w:proofErr w:type="spellStart"/>
      <w:r w:rsidRPr="009F66AC">
        <w:rPr>
          <w:rFonts w:asciiTheme="majorBidi" w:hAnsiTheme="majorBidi" w:cstheme="majorBidi"/>
          <w:sz w:val="20"/>
          <w:szCs w:val="20"/>
        </w:rPr>
        <w:t>Byggeth</w:t>
      </w:r>
      <w:proofErr w:type="spellEnd"/>
      <w:r w:rsidRPr="009F66AC">
        <w:rPr>
          <w:rFonts w:asciiTheme="majorBidi" w:hAnsiTheme="majorBidi" w:cstheme="majorBidi"/>
          <w:sz w:val="20"/>
          <w:szCs w:val="20"/>
        </w:rPr>
        <w:t xml:space="preserve">, S., Broman, G., </w:t>
      </w:r>
      <w:proofErr w:type="spellStart"/>
      <w:r w:rsidRPr="009F66AC">
        <w:rPr>
          <w:rFonts w:asciiTheme="majorBidi" w:hAnsiTheme="majorBidi" w:cstheme="majorBidi"/>
          <w:sz w:val="20"/>
          <w:szCs w:val="20"/>
        </w:rPr>
        <w:t>Robèrt</w:t>
      </w:r>
      <w:proofErr w:type="spellEnd"/>
      <w:r w:rsidRPr="009F66AC">
        <w:rPr>
          <w:rFonts w:asciiTheme="majorBidi" w:hAnsiTheme="majorBidi" w:cstheme="majorBidi"/>
          <w:sz w:val="20"/>
          <w:szCs w:val="20"/>
        </w:rPr>
        <w:t xml:space="preserve">, K.-H., 2007. A method for </w:t>
      </w:r>
      <w:r>
        <w:rPr>
          <w:rFonts w:asciiTheme="majorBidi" w:hAnsiTheme="majorBidi" w:cstheme="majorBidi"/>
          <w:sz w:val="20"/>
          <w:szCs w:val="20"/>
        </w:rPr>
        <w:t xml:space="preserve">sustainable product development </w:t>
      </w:r>
      <w:r w:rsidRPr="009F66AC">
        <w:rPr>
          <w:rFonts w:asciiTheme="majorBidi" w:hAnsiTheme="majorBidi" w:cstheme="majorBidi"/>
          <w:sz w:val="20"/>
          <w:szCs w:val="20"/>
        </w:rPr>
        <w:t>based on a modular system of guiding questions. J. Clean. Prod. 15, 1–11.</w:t>
      </w:r>
    </w:p>
    <w:p w:rsidR="00EF191F" w:rsidRPr="009F66AC" w:rsidRDefault="00EF191F" w:rsidP="00EF191F">
      <w:pPr>
        <w:bidi w:val="0"/>
        <w:spacing w:before="120" w:after="120"/>
        <w:ind w:firstLine="720"/>
        <w:rPr>
          <w:rFonts w:asciiTheme="majorBidi" w:hAnsiTheme="majorBidi" w:cstheme="majorBidi"/>
          <w:sz w:val="20"/>
          <w:szCs w:val="20"/>
        </w:rPr>
      </w:pPr>
      <w:proofErr w:type="spellStart"/>
      <w:r w:rsidRPr="009F66AC">
        <w:rPr>
          <w:rFonts w:asciiTheme="majorBidi" w:hAnsiTheme="majorBidi" w:cstheme="majorBidi"/>
          <w:sz w:val="20"/>
          <w:szCs w:val="20"/>
        </w:rPr>
        <w:t>Cai</w:t>
      </w:r>
      <w:proofErr w:type="spellEnd"/>
      <w:r w:rsidRPr="009F66AC">
        <w:rPr>
          <w:rFonts w:asciiTheme="majorBidi" w:hAnsiTheme="majorBidi" w:cstheme="majorBidi"/>
          <w:sz w:val="20"/>
          <w:szCs w:val="20"/>
        </w:rPr>
        <w:t>, Z., Chu, D., 2012. Measurement and assessment</w:t>
      </w:r>
      <w:r>
        <w:rPr>
          <w:rFonts w:asciiTheme="majorBidi" w:hAnsiTheme="majorBidi" w:cstheme="majorBidi"/>
          <w:sz w:val="20"/>
          <w:szCs w:val="20"/>
        </w:rPr>
        <w:t xml:space="preserve"> on urban sustainability-a case </w:t>
      </w:r>
      <w:r w:rsidRPr="009F66AC">
        <w:rPr>
          <w:rFonts w:asciiTheme="majorBidi" w:hAnsiTheme="majorBidi" w:cstheme="majorBidi"/>
          <w:sz w:val="20"/>
          <w:szCs w:val="20"/>
        </w:rPr>
        <w:t xml:space="preserve">study on </w:t>
      </w:r>
      <w:proofErr w:type="spellStart"/>
      <w:r w:rsidRPr="009F66AC">
        <w:rPr>
          <w:rFonts w:asciiTheme="majorBidi" w:hAnsiTheme="majorBidi" w:cstheme="majorBidi"/>
          <w:sz w:val="20"/>
          <w:szCs w:val="20"/>
        </w:rPr>
        <w:t>jiangsu</w:t>
      </w:r>
      <w:proofErr w:type="spellEnd"/>
      <w:r w:rsidRPr="009F66AC">
        <w:rPr>
          <w:rFonts w:asciiTheme="majorBidi" w:hAnsiTheme="majorBidi" w:cstheme="majorBidi"/>
          <w:sz w:val="20"/>
          <w:szCs w:val="20"/>
        </w:rPr>
        <w:t xml:space="preserve"> province. Urban Insight 4, 142</w:t>
      </w:r>
      <w:r>
        <w:rPr>
          <w:rFonts w:asciiTheme="majorBidi" w:hAnsiTheme="majorBidi" w:cstheme="majorBidi"/>
          <w:sz w:val="20"/>
          <w:szCs w:val="20"/>
        </w:rPr>
        <w:t>-</w:t>
      </w:r>
      <w:r w:rsidRPr="009F66AC">
        <w:rPr>
          <w:rFonts w:asciiTheme="majorBidi" w:hAnsiTheme="majorBidi" w:cstheme="majorBidi"/>
          <w:sz w:val="20"/>
          <w:szCs w:val="20"/>
        </w:rPr>
        <w:t>150.</w:t>
      </w:r>
    </w:p>
    <w:p w:rsidR="00EF191F" w:rsidRPr="009F66AC" w:rsidRDefault="00EF191F" w:rsidP="00EF191F">
      <w:pPr>
        <w:bidi w:val="0"/>
        <w:spacing w:before="120" w:after="120"/>
        <w:ind w:firstLine="720"/>
        <w:rPr>
          <w:rFonts w:asciiTheme="majorBidi" w:hAnsiTheme="majorBidi" w:cstheme="majorBidi"/>
          <w:sz w:val="20"/>
          <w:szCs w:val="20"/>
        </w:rPr>
      </w:pPr>
      <w:r w:rsidRPr="009F66AC">
        <w:rPr>
          <w:rFonts w:asciiTheme="majorBidi" w:hAnsiTheme="majorBidi" w:cstheme="majorBidi"/>
          <w:sz w:val="20"/>
          <w:szCs w:val="20"/>
        </w:rPr>
        <w:t xml:space="preserve">Childers, D.L., Pickett, S.T.A., Grove, J.M., Ogden, L., </w:t>
      </w:r>
      <w:proofErr w:type="spellStart"/>
      <w:r>
        <w:rPr>
          <w:rFonts w:asciiTheme="majorBidi" w:hAnsiTheme="majorBidi" w:cstheme="majorBidi"/>
          <w:sz w:val="20"/>
          <w:szCs w:val="20"/>
        </w:rPr>
        <w:t>Whitmer</w:t>
      </w:r>
      <w:proofErr w:type="spellEnd"/>
      <w:r>
        <w:rPr>
          <w:rFonts w:asciiTheme="majorBidi" w:hAnsiTheme="majorBidi" w:cstheme="majorBidi"/>
          <w:sz w:val="20"/>
          <w:szCs w:val="20"/>
        </w:rPr>
        <w:t xml:space="preserve">, A., 2014. Advancing </w:t>
      </w:r>
      <w:r w:rsidRPr="009F66AC">
        <w:rPr>
          <w:rFonts w:asciiTheme="majorBidi" w:hAnsiTheme="majorBidi" w:cstheme="majorBidi"/>
          <w:sz w:val="20"/>
          <w:szCs w:val="20"/>
        </w:rPr>
        <w:t>urban sustainability theory and action: challe</w:t>
      </w:r>
      <w:r>
        <w:rPr>
          <w:rFonts w:asciiTheme="majorBidi" w:hAnsiTheme="majorBidi" w:cstheme="majorBidi"/>
          <w:sz w:val="20"/>
          <w:szCs w:val="20"/>
        </w:rPr>
        <w:t xml:space="preserve">nges and opportunities. </w:t>
      </w:r>
      <w:proofErr w:type="spellStart"/>
      <w:r>
        <w:rPr>
          <w:rFonts w:asciiTheme="majorBidi" w:hAnsiTheme="majorBidi" w:cstheme="majorBidi"/>
          <w:sz w:val="20"/>
          <w:szCs w:val="20"/>
        </w:rPr>
        <w:t>Landsc</w:t>
      </w:r>
      <w:proofErr w:type="spellEnd"/>
      <w:r>
        <w:rPr>
          <w:rFonts w:asciiTheme="majorBidi" w:hAnsiTheme="majorBidi" w:cstheme="majorBidi"/>
          <w:sz w:val="20"/>
          <w:szCs w:val="20"/>
        </w:rPr>
        <w:t xml:space="preserve">. </w:t>
      </w:r>
      <w:r w:rsidRPr="009F66AC">
        <w:rPr>
          <w:rFonts w:asciiTheme="majorBidi" w:hAnsiTheme="majorBidi" w:cstheme="majorBidi"/>
          <w:sz w:val="20"/>
          <w:szCs w:val="20"/>
        </w:rPr>
        <w:t xml:space="preserve">Urban </w:t>
      </w:r>
      <w:proofErr w:type="spellStart"/>
      <w:r w:rsidRPr="009F66AC">
        <w:rPr>
          <w:rFonts w:asciiTheme="majorBidi" w:hAnsiTheme="majorBidi" w:cstheme="majorBidi"/>
          <w:sz w:val="20"/>
          <w:szCs w:val="20"/>
        </w:rPr>
        <w:t>Plann</w:t>
      </w:r>
      <w:proofErr w:type="spellEnd"/>
      <w:r w:rsidRPr="009F66AC">
        <w:rPr>
          <w:rFonts w:asciiTheme="majorBidi" w:hAnsiTheme="majorBidi" w:cstheme="majorBidi"/>
          <w:sz w:val="20"/>
          <w:szCs w:val="20"/>
        </w:rPr>
        <w:t>. 125, 320</w:t>
      </w:r>
      <w:r>
        <w:rPr>
          <w:rFonts w:asciiTheme="majorBidi" w:hAnsiTheme="majorBidi" w:cstheme="majorBidi"/>
          <w:sz w:val="20"/>
          <w:szCs w:val="20"/>
        </w:rPr>
        <w:t>-</w:t>
      </w:r>
      <w:r w:rsidRPr="009F66AC">
        <w:rPr>
          <w:rFonts w:asciiTheme="majorBidi" w:hAnsiTheme="majorBidi" w:cstheme="majorBidi"/>
          <w:sz w:val="20"/>
          <w:szCs w:val="20"/>
        </w:rPr>
        <w:t>328.</w:t>
      </w:r>
    </w:p>
    <w:p w:rsidR="00EF191F" w:rsidRDefault="00EF191F" w:rsidP="00EF191F">
      <w:pPr>
        <w:bidi w:val="0"/>
        <w:spacing w:before="120" w:after="120"/>
        <w:ind w:firstLine="720"/>
        <w:rPr>
          <w:rFonts w:asciiTheme="majorBidi" w:hAnsiTheme="majorBidi" w:cstheme="majorBidi"/>
          <w:sz w:val="20"/>
          <w:szCs w:val="20"/>
        </w:rPr>
      </w:pPr>
      <w:r w:rsidRPr="009F66AC">
        <w:rPr>
          <w:rFonts w:asciiTheme="majorBidi" w:hAnsiTheme="majorBidi" w:cstheme="majorBidi"/>
          <w:sz w:val="20"/>
          <w:szCs w:val="20"/>
        </w:rPr>
        <w:t>Cui, S., Li, F., Yu, Y., Lin, J., 2010. Discussion on</w:t>
      </w:r>
      <w:r>
        <w:rPr>
          <w:rFonts w:asciiTheme="majorBidi" w:hAnsiTheme="majorBidi" w:cstheme="majorBidi"/>
          <w:sz w:val="20"/>
          <w:szCs w:val="20"/>
        </w:rPr>
        <w:t xml:space="preserve"> the theory of urbanization and </w:t>
      </w:r>
      <w:r w:rsidRPr="009F66AC">
        <w:rPr>
          <w:rFonts w:asciiTheme="majorBidi" w:hAnsiTheme="majorBidi" w:cstheme="majorBidi"/>
          <w:sz w:val="20"/>
          <w:szCs w:val="20"/>
        </w:rPr>
        <w:t>sustainable urbanization. Urban Stud. 17, 17</w:t>
      </w:r>
      <w:r>
        <w:rPr>
          <w:rFonts w:asciiTheme="majorBidi" w:hAnsiTheme="majorBidi" w:cstheme="majorBidi"/>
          <w:sz w:val="20"/>
          <w:szCs w:val="20"/>
        </w:rPr>
        <w:t>-</w:t>
      </w:r>
      <w:r w:rsidRPr="009F66AC">
        <w:rPr>
          <w:rFonts w:asciiTheme="majorBidi" w:hAnsiTheme="majorBidi" w:cstheme="majorBidi"/>
          <w:sz w:val="20"/>
          <w:szCs w:val="20"/>
        </w:rPr>
        <w:t>24</w:t>
      </w:r>
      <w:r>
        <w:rPr>
          <w:rFonts w:asciiTheme="majorBidi" w:hAnsiTheme="majorBidi" w:cstheme="majorBidi"/>
          <w:sz w:val="20"/>
          <w:szCs w:val="20"/>
        </w:rPr>
        <w:t xml:space="preserve">. </w:t>
      </w:r>
    </w:p>
    <w:p w:rsidR="00EF191F" w:rsidRPr="009F66AC" w:rsidRDefault="00EF191F" w:rsidP="00EF191F">
      <w:pPr>
        <w:bidi w:val="0"/>
        <w:spacing w:before="120" w:after="120"/>
        <w:ind w:firstLine="720"/>
        <w:rPr>
          <w:rFonts w:asciiTheme="majorBidi" w:hAnsiTheme="majorBidi" w:cstheme="majorBidi"/>
          <w:sz w:val="20"/>
          <w:szCs w:val="20"/>
        </w:rPr>
      </w:pPr>
      <w:proofErr w:type="spellStart"/>
      <w:r w:rsidRPr="009F66AC">
        <w:rPr>
          <w:rFonts w:asciiTheme="majorBidi" w:hAnsiTheme="majorBidi" w:cstheme="majorBidi"/>
          <w:sz w:val="20"/>
          <w:szCs w:val="20"/>
        </w:rPr>
        <w:t>Dresner</w:t>
      </w:r>
      <w:proofErr w:type="spellEnd"/>
      <w:r w:rsidRPr="009F66AC">
        <w:rPr>
          <w:rFonts w:asciiTheme="majorBidi" w:hAnsiTheme="majorBidi" w:cstheme="majorBidi"/>
          <w:sz w:val="20"/>
          <w:szCs w:val="20"/>
        </w:rPr>
        <w:t xml:space="preserve">, 2002. The Principles of Sustainability. </w:t>
      </w:r>
      <w:proofErr w:type="spellStart"/>
      <w:r w:rsidRPr="009F66AC">
        <w:rPr>
          <w:rFonts w:asciiTheme="majorBidi" w:hAnsiTheme="majorBidi" w:cstheme="majorBidi"/>
          <w:sz w:val="20"/>
          <w:szCs w:val="20"/>
        </w:rPr>
        <w:t>Earthscan</w:t>
      </w:r>
      <w:proofErr w:type="spellEnd"/>
      <w:r w:rsidRPr="009F66AC">
        <w:rPr>
          <w:rFonts w:asciiTheme="majorBidi" w:hAnsiTheme="majorBidi" w:cstheme="majorBidi"/>
          <w:sz w:val="20"/>
          <w:szCs w:val="20"/>
        </w:rPr>
        <w:t>, London.</w:t>
      </w:r>
    </w:p>
    <w:p w:rsidR="00EF191F" w:rsidRPr="009F66AC" w:rsidRDefault="00EF191F" w:rsidP="00EF191F">
      <w:pPr>
        <w:bidi w:val="0"/>
        <w:spacing w:before="120" w:after="120"/>
        <w:ind w:firstLine="720"/>
        <w:rPr>
          <w:rFonts w:asciiTheme="majorBidi" w:hAnsiTheme="majorBidi" w:cstheme="majorBidi"/>
          <w:sz w:val="20"/>
          <w:szCs w:val="20"/>
        </w:rPr>
      </w:pPr>
      <w:proofErr w:type="spellStart"/>
      <w:r w:rsidRPr="009F66AC">
        <w:rPr>
          <w:rFonts w:asciiTheme="majorBidi" w:hAnsiTheme="majorBidi" w:cstheme="majorBidi"/>
          <w:sz w:val="20"/>
          <w:szCs w:val="20"/>
        </w:rPr>
        <w:t>Hiremath</w:t>
      </w:r>
      <w:proofErr w:type="spellEnd"/>
      <w:r w:rsidRPr="009F66AC">
        <w:rPr>
          <w:rFonts w:asciiTheme="majorBidi" w:hAnsiTheme="majorBidi" w:cstheme="majorBidi"/>
          <w:sz w:val="20"/>
          <w:szCs w:val="20"/>
        </w:rPr>
        <w:t xml:space="preserve">, R.B., </w:t>
      </w:r>
      <w:proofErr w:type="spellStart"/>
      <w:r w:rsidRPr="009F66AC">
        <w:rPr>
          <w:rFonts w:asciiTheme="majorBidi" w:hAnsiTheme="majorBidi" w:cstheme="majorBidi"/>
          <w:sz w:val="20"/>
          <w:szCs w:val="20"/>
        </w:rPr>
        <w:t>Balachandra</w:t>
      </w:r>
      <w:proofErr w:type="spellEnd"/>
      <w:r w:rsidRPr="009F66AC">
        <w:rPr>
          <w:rFonts w:asciiTheme="majorBidi" w:hAnsiTheme="majorBidi" w:cstheme="majorBidi"/>
          <w:sz w:val="20"/>
          <w:szCs w:val="20"/>
        </w:rPr>
        <w:t xml:space="preserve">, P., Kumar, B., </w:t>
      </w:r>
      <w:proofErr w:type="spellStart"/>
      <w:r w:rsidRPr="009F66AC">
        <w:rPr>
          <w:rFonts w:asciiTheme="majorBidi" w:hAnsiTheme="majorBidi" w:cstheme="majorBidi"/>
          <w:sz w:val="20"/>
          <w:szCs w:val="20"/>
        </w:rPr>
        <w:t>Bansode</w:t>
      </w:r>
      <w:proofErr w:type="spellEnd"/>
      <w:r w:rsidRPr="009F66AC">
        <w:rPr>
          <w:rFonts w:asciiTheme="majorBidi" w:hAnsiTheme="majorBidi" w:cstheme="majorBidi"/>
          <w:sz w:val="20"/>
          <w:szCs w:val="20"/>
        </w:rPr>
        <w:t xml:space="preserve">, S.S., </w:t>
      </w:r>
      <w:proofErr w:type="spellStart"/>
      <w:r w:rsidRPr="009F66AC">
        <w:rPr>
          <w:rFonts w:asciiTheme="majorBidi" w:hAnsiTheme="majorBidi" w:cstheme="majorBidi"/>
          <w:sz w:val="20"/>
          <w:szCs w:val="20"/>
        </w:rPr>
        <w:t>M</w:t>
      </w:r>
      <w:r>
        <w:rPr>
          <w:rFonts w:asciiTheme="majorBidi" w:hAnsiTheme="majorBidi" w:cstheme="majorBidi"/>
          <w:sz w:val="20"/>
          <w:szCs w:val="20"/>
        </w:rPr>
        <w:t>urali</w:t>
      </w:r>
      <w:proofErr w:type="spellEnd"/>
      <w:r>
        <w:rPr>
          <w:rFonts w:asciiTheme="majorBidi" w:hAnsiTheme="majorBidi" w:cstheme="majorBidi"/>
          <w:sz w:val="20"/>
          <w:szCs w:val="20"/>
        </w:rPr>
        <w:t xml:space="preserve">, J., 2013. </w:t>
      </w:r>
      <w:proofErr w:type="spellStart"/>
      <w:r>
        <w:rPr>
          <w:rFonts w:asciiTheme="majorBidi" w:hAnsiTheme="majorBidi" w:cstheme="majorBidi"/>
          <w:sz w:val="20"/>
          <w:szCs w:val="20"/>
        </w:rPr>
        <w:t>Indicatorbased</w:t>
      </w:r>
      <w:proofErr w:type="spellEnd"/>
      <w:r>
        <w:rPr>
          <w:rFonts w:asciiTheme="majorBidi" w:hAnsiTheme="majorBidi" w:cstheme="majorBidi"/>
          <w:sz w:val="20"/>
          <w:szCs w:val="20"/>
        </w:rPr>
        <w:t xml:space="preserve"> </w:t>
      </w:r>
      <w:r w:rsidRPr="009F66AC">
        <w:rPr>
          <w:rFonts w:asciiTheme="majorBidi" w:hAnsiTheme="majorBidi" w:cstheme="majorBidi"/>
          <w:sz w:val="20"/>
          <w:szCs w:val="20"/>
        </w:rPr>
        <w:t xml:space="preserve">urban </w:t>
      </w:r>
      <w:proofErr w:type="spellStart"/>
      <w:r w:rsidRPr="009F66AC">
        <w:rPr>
          <w:rFonts w:asciiTheme="majorBidi" w:hAnsiTheme="majorBidi" w:cstheme="majorBidi"/>
          <w:sz w:val="20"/>
          <w:szCs w:val="20"/>
        </w:rPr>
        <w:t>sustainabilityda</w:t>
      </w:r>
      <w:proofErr w:type="spellEnd"/>
      <w:r w:rsidRPr="009F66AC">
        <w:rPr>
          <w:rFonts w:asciiTheme="majorBidi" w:hAnsiTheme="majorBidi" w:cstheme="majorBidi"/>
          <w:sz w:val="20"/>
          <w:szCs w:val="20"/>
        </w:rPr>
        <w:t xml:space="preserve"> review. Energy Sustain. Develop. 17 (6), 555</w:t>
      </w:r>
      <w:r>
        <w:rPr>
          <w:rFonts w:asciiTheme="majorBidi" w:hAnsiTheme="majorBidi" w:cstheme="majorBidi"/>
          <w:sz w:val="20"/>
          <w:szCs w:val="20"/>
        </w:rPr>
        <w:t>-</w:t>
      </w:r>
      <w:r w:rsidRPr="009F66AC">
        <w:rPr>
          <w:rFonts w:asciiTheme="majorBidi" w:hAnsiTheme="majorBidi" w:cstheme="majorBidi"/>
          <w:sz w:val="20"/>
          <w:szCs w:val="20"/>
        </w:rPr>
        <w:t>563.</w:t>
      </w:r>
    </w:p>
    <w:p w:rsidR="00EF191F" w:rsidRPr="009F66AC" w:rsidRDefault="00EF191F" w:rsidP="00EF191F">
      <w:pPr>
        <w:bidi w:val="0"/>
        <w:spacing w:before="120" w:after="120"/>
        <w:ind w:firstLine="720"/>
        <w:rPr>
          <w:rFonts w:asciiTheme="majorBidi" w:hAnsiTheme="majorBidi" w:cstheme="majorBidi"/>
          <w:sz w:val="20"/>
          <w:szCs w:val="20"/>
        </w:rPr>
      </w:pPr>
      <w:r w:rsidRPr="009F66AC">
        <w:rPr>
          <w:rFonts w:asciiTheme="majorBidi" w:hAnsiTheme="majorBidi" w:cstheme="majorBidi"/>
          <w:sz w:val="20"/>
          <w:szCs w:val="20"/>
        </w:rPr>
        <w:t>Holden, M., Roseland, M., Ferguson, K., Perl, A., 200</w:t>
      </w:r>
      <w:r>
        <w:rPr>
          <w:rFonts w:asciiTheme="majorBidi" w:hAnsiTheme="majorBidi" w:cstheme="majorBidi"/>
          <w:sz w:val="20"/>
          <w:szCs w:val="20"/>
        </w:rPr>
        <w:t xml:space="preserve">8. Seeking urban sustainability </w:t>
      </w:r>
      <w:r w:rsidRPr="009F66AC">
        <w:rPr>
          <w:rFonts w:asciiTheme="majorBidi" w:hAnsiTheme="majorBidi" w:cstheme="majorBidi"/>
          <w:sz w:val="20"/>
          <w:szCs w:val="20"/>
        </w:rPr>
        <w:t>on the world stage. Habitat Int. 32 (3), 305</w:t>
      </w:r>
      <w:r>
        <w:rPr>
          <w:rFonts w:asciiTheme="majorBidi" w:hAnsiTheme="majorBidi" w:cstheme="majorBidi"/>
          <w:sz w:val="20"/>
          <w:szCs w:val="20"/>
        </w:rPr>
        <w:t>-</w:t>
      </w:r>
      <w:r w:rsidRPr="009F66AC">
        <w:rPr>
          <w:rFonts w:asciiTheme="majorBidi" w:hAnsiTheme="majorBidi" w:cstheme="majorBidi"/>
          <w:sz w:val="20"/>
          <w:szCs w:val="20"/>
        </w:rPr>
        <w:t>317.</w:t>
      </w:r>
    </w:p>
    <w:p w:rsidR="00EF191F" w:rsidRPr="009F66AC" w:rsidRDefault="00EF191F" w:rsidP="00EF191F">
      <w:pPr>
        <w:bidi w:val="0"/>
        <w:spacing w:before="120" w:after="120"/>
        <w:ind w:firstLine="720"/>
        <w:rPr>
          <w:rFonts w:asciiTheme="majorBidi" w:hAnsiTheme="majorBidi" w:cstheme="majorBidi"/>
          <w:sz w:val="20"/>
          <w:szCs w:val="20"/>
        </w:rPr>
      </w:pPr>
      <w:r w:rsidRPr="009F66AC">
        <w:rPr>
          <w:rFonts w:asciiTheme="majorBidi" w:hAnsiTheme="majorBidi" w:cstheme="majorBidi"/>
          <w:sz w:val="20"/>
          <w:szCs w:val="20"/>
        </w:rPr>
        <w:t xml:space="preserve">Li, F., Liu, X., Hu, </w:t>
      </w:r>
      <w:proofErr w:type="spellStart"/>
      <w:r w:rsidRPr="009F66AC">
        <w:rPr>
          <w:rFonts w:asciiTheme="majorBidi" w:hAnsiTheme="majorBidi" w:cstheme="majorBidi"/>
          <w:sz w:val="20"/>
          <w:szCs w:val="20"/>
        </w:rPr>
        <w:t>D.,Wang</w:t>
      </w:r>
      <w:proofErr w:type="spellEnd"/>
      <w:r w:rsidRPr="009F66AC">
        <w:rPr>
          <w:rFonts w:asciiTheme="majorBidi" w:hAnsiTheme="majorBidi" w:cstheme="majorBidi"/>
          <w:sz w:val="20"/>
          <w:szCs w:val="20"/>
        </w:rPr>
        <w:t>, R., 2007. Evaluation metho</w:t>
      </w:r>
      <w:r>
        <w:rPr>
          <w:rFonts w:asciiTheme="majorBidi" w:hAnsiTheme="majorBidi" w:cstheme="majorBidi"/>
          <w:sz w:val="20"/>
          <w:szCs w:val="20"/>
        </w:rPr>
        <w:t xml:space="preserve">d and its application for urban </w:t>
      </w:r>
      <w:r w:rsidRPr="009F66AC">
        <w:rPr>
          <w:rFonts w:asciiTheme="majorBidi" w:hAnsiTheme="majorBidi" w:cstheme="majorBidi"/>
          <w:sz w:val="20"/>
          <w:szCs w:val="20"/>
        </w:rPr>
        <w:t xml:space="preserve">sustainable development. </w:t>
      </w:r>
      <w:proofErr w:type="spellStart"/>
      <w:r w:rsidRPr="009F66AC">
        <w:rPr>
          <w:rFonts w:asciiTheme="majorBidi" w:hAnsiTheme="majorBidi" w:cstheme="majorBidi"/>
          <w:sz w:val="20"/>
          <w:szCs w:val="20"/>
        </w:rPr>
        <w:t>Acta</w:t>
      </w:r>
      <w:proofErr w:type="spellEnd"/>
      <w:r w:rsidRPr="009F66AC">
        <w:rPr>
          <w:rFonts w:asciiTheme="majorBidi" w:hAnsiTheme="majorBidi" w:cstheme="majorBidi"/>
          <w:sz w:val="20"/>
          <w:szCs w:val="20"/>
        </w:rPr>
        <w:t xml:space="preserve"> Ecol. Sin. 27, 4193</w:t>
      </w:r>
      <w:r>
        <w:rPr>
          <w:rFonts w:asciiTheme="majorBidi" w:hAnsiTheme="majorBidi" w:cstheme="majorBidi"/>
          <w:sz w:val="20"/>
          <w:szCs w:val="20"/>
        </w:rPr>
        <w:t>-</w:t>
      </w:r>
      <w:r w:rsidRPr="009F66AC">
        <w:rPr>
          <w:rFonts w:asciiTheme="majorBidi" w:hAnsiTheme="majorBidi" w:cstheme="majorBidi"/>
          <w:sz w:val="20"/>
          <w:szCs w:val="20"/>
        </w:rPr>
        <w:t>4202.</w:t>
      </w:r>
    </w:p>
    <w:p w:rsidR="00EF191F" w:rsidRPr="009F66AC" w:rsidRDefault="00EF191F" w:rsidP="00EF191F">
      <w:pPr>
        <w:bidi w:val="0"/>
        <w:spacing w:before="120" w:after="120"/>
        <w:ind w:firstLine="720"/>
        <w:rPr>
          <w:rFonts w:asciiTheme="majorBidi" w:hAnsiTheme="majorBidi" w:cstheme="majorBidi"/>
          <w:sz w:val="20"/>
          <w:szCs w:val="20"/>
        </w:rPr>
      </w:pPr>
      <w:r w:rsidRPr="009F66AC">
        <w:rPr>
          <w:rFonts w:asciiTheme="majorBidi" w:hAnsiTheme="majorBidi" w:cstheme="majorBidi"/>
          <w:sz w:val="20"/>
          <w:szCs w:val="20"/>
        </w:rPr>
        <w:lastRenderedPageBreak/>
        <w:t xml:space="preserve">Li, L., </w:t>
      </w:r>
      <w:proofErr w:type="spellStart"/>
      <w:r w:rsidRPr="009F66AC">
        <w:rPr>
          <w:rFonts w:asciiTheme="majorBidi" w:hAnsiTheme="majorBidi" w:cstheme="majorBidi"/>
          <w:sz w:val="20"/>
          <w:szCs w:val="20"/>
        </w:rPr>
        <w:t>Zheng</w:t>
      </w:r>
      <w:proofErr w:type="spellEnd"/>
      <w:r w:rsidRPr="009F66AC">
        <w:rPr>
          <w:rFonts w:asciiTheme="majorBidi" w:hAnsiTheme="majorBidi" w:cstheme="majorBidi"/>
          <w:sz w:val="20"/>
          <w:szCs w:val="20"/>
        </w:rPr>
        <w:t>, D., 2002. Regional sustainable devel</w:t>
      </w:r>
      <w:r>
        <w:rPr>
          <w:rFonts w:asciiTheme="majorBidi" w:hAnsiTheme="majorBidi" w:cstheme="majorBidi"/>
          <w:sz w:val="20"/>
          <w:szCs w:val="20"/>
        </w:rPr>
        <w:t xml:space="preserve">opment assessment: progress and </w:t>
      </w:r>
      <w:r w:rsidRPr="009F66AC">
        <w:rPr>
          <w:rFonts w:asciiTheme="majorBidi" w:hAnsiTheme="majorBidi" w:cstheme="majorBidi"/>
          <w:sz w:val="20"/>
          <w:szCs w:val="20"/>
        </w:rPr>
        <w:t xml:space="preserve">outlook. </w:t>
      </w:r>
      <w:proofErr w:type="spellStart"/>
      <w:r w:rsidRPr="009F66AC">
        <w:rPr>
          <w:rFonts w:asciiTheme="majorBidi" w:hAnsiTheme="majorBidi" w:cstheme="majorBidi"/>
          <w:sz w:val="20"/>
          <w:szCs w:val="20"/>
        </w:rPr>
        <w:t>Prog</w:t>
      </w:r>
      <w:proofErr w:type="spellEnd"/>
      <w:r w:rsidRPr="009F66AC">
        <w:rPr>
          <w:rFonts w:asciiTheme="majorBidi" w:hAnsiTheme="majorBidi" w:cstheme="majorBidi"/>
          <w:sz w:val="20"/>
          <w:szCs w:val="20"/>
        </w:rPr>
        <w:t xml:space="preserve">. </w:t>
      </w:r>
      <w:proofErr w:type="spellStart"/>
      <w:r w:rsidRPr="009F66AC">
        <w:rPr>
          <w:rFonts w:asciiTheme="majorBidi" w:hAnsiTheme="majorBidi" w:cstheme="majorBidi"/>
          <w:sz w:val="20"/>
          <w:szCs w:val="20"/>
        </w:rPr>
        <w:t>Geogr</w:t>
      </w:r>
      <w:proofErr w:type="spellEnd"/>
      <w:r w:rsidRPr="009F66AC">
        <w:rPr>
          <w:rFonts w:asciiTheme="majorBidi" w:hAnsiTheme="majorBidi" w:cstheme="majorBidi"/>
          <w:sz w:val="20"/>
          <w:szCs w:val="20"/>
        </w:rPr>
        <w:t>. 21, 237</w:t>
      </w:r>
      <w:r>
        <w:rPr>
          <w:rFonts w:asciiTheme="majorBidi" w:hAnsiTheme="majorBidi" w:cstheme="majorBidi"/>
          <w:sz w:val="20"/>
          <w:szCs w:val="20"/>
        </w:rPr>
        <w:t>-</w:t>
      </w:r>
      <w:r w:rsidRPr="009F66AC">
        <w:rPr>
          <w:rFonts w:asciiTheme="majorBidi" w:hAnsiTheme="majorBidi" w:cstheme="majorBidi"/>
          <w:sz w:val="20"/>
          <w:szCs w:val="20"/>
        </w:rPr>
        <w:t>248.</w:t>
      </w:r>
    </w:p>
    <w:p w:rsidR="00EF191F" w:rsidRPr="009F66AC" w:rsidRDefault="00EF191F" w:rsidP="00EF191F">
      <w:pPr>
        <w:bidi w:val="0"/>
        <w:spacing w:before="120" w:after="120"/>
        <w:ind w:firstLine="720"/>
        <w:rPr>
          <w:rFonts w:asciiTheme="majorBidi" w:hAnsiTheme="majorBidi" w:cstheme="majorBidi"/>
          <w:sz w:val="20"/>
          <w:szCs w:val="20"/>
        </w:rPr>
      </w:pPr>
      <w:r w:rsidRPr="009F66AC">
        <w:rPr>
          <w:rFonts w:asciiTheme="majorBidi" w:hAnsiTheme="majorBidi" w:cstheme="majorBidi"/>
          <w:sz w:val="20"/>
          <w:szCs w:val="20"/>
        </w:rPr>
        <w:t xml:space="preserve">Li, S., Jared, K., </w:t>
      </w:r>
      <w:proofErr w:type="spellStart"/>
      <w:r w:rsidRPr="009F66AC">
        <w:rPr>
          <w:rFonts w:asciiTheme="majorBidi" w:hAnsiTheme="majorBidi" w:cstheme="majorBidi"/>
          <w:sz w:val="20"/>
          <w:szCs w:val="20"/>
        </w:rPr>
        <w:t>Guo</w:t>
      </w:r>
      <w:proofErr w:type="spellEnd"/>
      <w:r w:rsidRPr="009F66AC">
        <w:rPr>
          <w:rFonts w:asciiTheme="majorBidi" w:hAnsiTheme="majorBidi" w:cstheme="majorBidi"/>
          <w:sz w:val="20"/>
          <w:szCs w:val="20"/>
        </w:rPr>
        <w:t xml:space="preserve">, X., 2013. An integrated model </w:t>
      </w:r>
      <w:r>
        <w:rPr>
          <w:rFonts w:asciiTheme="majorBidi" w:hAnsiTheme="majorBidi" w:cstheme="majorBidi"/>
          <w:sz w:val="20"/>
          <w:szCs w:val="20"/>
        </w:rPr>
        <w:t xml:space="preserve">based on a hierarchical indices </w:t>
      </w:r>
      <w:r w:rsidRPr="009F66AC">
        <w:rPr>
          <w:rFonts w:asciiTheme="majorBidi" w:hAnsiTheme="majorBidi" w:cstheme="majorBidi"/>
          <w:sz w:val="20"/>
          <w:szCs w:val="20"/>
        </w:rPr>
        <w:t>system for monitoring and evaluating urban sustai</w:t>
      </w:r>
      <w:r>
        <w:rPr>
          <w:rFonts w:asciiTheme="majorBidi" w:hAnsiTheme="majorBidi" w:cstheme="majorBidi"/>
          <w:sz w:val="20"/>
          <w:szCs w:val="20"/>
        </w:rPr>
        <w:t xml:space="preserve">nability. Sustainability 5 (2), </w:t>
      </w:r>
      <w:r w:rsidRPr="009F66AC">
        <w:rPr>
          <w:rFonts w:asciiTheme="majorBidi" w:hAnsiTheme="majorBidi" w:cstheme="majorBidi"/>
          <w:sz w:val="20"/>
          <w:szCs w:val="20"/>
        </w:rPr>
        <w:t>524</w:t>
      </w:r>
      <w:r>
        <w:rPr>
          <w:rFonts w:asciiTheme="majorBidi" w:hAnsiTheme="majorBidi" w:cstheme="majorBidi"/>
          <w:sz w:val="20"/>
          <w:szCs w:val="20"/>
        </w:rPr>
        <w:t>-</w:t>
      </w:r>
      <w:r w:rsidRPr="009F66AC">
        <w:rPr>
          <w:rFonts w:asciiTheme="majorBidi" w:hAnsiTheme="majorBidi" w:cstheme="majorBidi"/>
          <w:sz w:val="20"/>
          <w:szCs w:val="20"/>
        </w:rPr>
        <w:t>559.</w:t>
      </w:r>
    </w:p>
    <w:p w:rsidR="00EF191F" w:rsidRPr="009F66AC" w:rsidRDefault="00EF191F" w:rsidP="00EF191F">
      <w:pPr>
        <w:bidi w:val="0"/>
        <w:spacing w:before="120" w:after="120"/>
        <w:ind w:firstLine="720"/>
        <w:rPr>
          <w:rFonts w:asciiTheme="majorBidi" w:hAnsiTheme="majorBidi" w:cstheme="majorBidi"/>
          <w:sz w:val="20"/>
          <w:szCs w:val="20"/>
        </w:rPr>
      </w:pPr>
      <w:proofErr w:type="spellStart"/>
      <w:r w:rsidRPr="009F66AC">
        <w:rPr>
          <w:rFonts w:asciiTheme="majorBidi" w:hAnsiTheme="majorBidi" w:cstheme="majorBidi"/>
          <w:sz w:val="20"/>
          <w:szCs w:val="20"/>
        </w:rPr>
        <w:t>Luo</w:t>
      </w:r>
      <w:proofErr w:type="spellEnd"/>
      <w:r w:rsidRPr="009F66AC">
        <w:rPr>
          <w:rFonts w:asciiTheme="majorBidi" w:hAnsiTheme="majorBidi" w:cstheme="majorBidi"/>
          <w:sz w:val="20"/>
          <w:szCs w:val="20"/>
        </w:rPr>
        <w:t xml:space="preserve">, Y., </w:t>
      </w:r>
      <w:proofErr w:type="spellStart"/>
      <w:r w:rsidRPr="009F66AC">
        <w:rPr>
          <w:rFonts w:asciiTheme="majorBidi" w:hAnsiTheme="majorBidi" w:cstheme="majorBidi"/>
          <w:sz w:val="20"/>
          <w:szCs w:val="20"/>
        </w:rPr>
        <w:t>Niu</w:t>
      </w:r>
      <w:proofErr w:type="spellEnd"/>
      <w:r w:rsidRPr="009F66AC">
        <w:rPr>
          <w:rFonts w:asciiTheme="majorBidi" w:hAnsiTheme="majorBidi" w:cstheme="majorBidi"/>
          <w:sz w:val="20"/>
          <w:szCs w:val="20"/>
        </w:rPr>
        <w:t>, W., 2007. The Overview of china's Sus</w:t>
      </w:r>
      <w:r>
        <w:rPr>
          <w:rFonts w:asciiTheme="majorBidi" w:hAnsiTheme="majorBidi" w:cstheme="majorBidi"/>
          <w:sz w:val="20"/>
          <w:szCs w:val="20"/>
        </w:rPr>
        <w:t xml:space="preserve">tainable </w:t>
      </w:r>
      <w:proofErr w:type="spellStart"/>
      <w:r>
        <w:rPr>
          <w:rFonts w:asciiTheme="majorBidi" w:hAnsiTheme="majorBidi" w:cstheme="majorBidi"/>
          <w:sz w:val="20"/>
          <w:szCs w:val="20"/>
        </w:rPr>
        <w:t>Development:Pandect</w:t>
      </w:r>
      <w:proofErr w:type="spellEnd"/>
      <w:r>
        <w:rPr>
          <w:rFonts w:asciiTheme="majorBidi" w:hAnsiTheme="majorBidi" w:cstheme="majorBidi"/>
          <w:sz w:val="20"/>
          <w:szCs w:val="20"/>
        </w:rPr>
        <w:t xml:space="preserve"> of </w:t>
      </w:r>
      <w:r w:rsidRPr="009F66AC">
        <w:rPr>
          <w:rFonts w:asciiTheme="majorBidi" w:hAnsiTheme="majorBidi" w:cstheme="majorBidi"/>
          <w:sz w:val="20"/>
          <w:szCs w:val="20"/>
        </w:rPr>
        <w:t>china's Sustainable Development, vol. 1. Science Press, Beijing.</w:t>
      </w:r>
    </w:p>
    <w:p w:rsidR="00EF191F" w:rsidRPr="009F66AC" w:rsidRDefault="00EF191F" w:rsidP="00EF191F">
      <w:pPr>
        <w:bidi w:val="0"/>
        <w:spacing w:before="120" w:after="120"/>
        <w:ind w:firstLine="720"/>
        <w:rPr>
          <w:rFonts w:asciiTheme="majorBidi" w:hAnsiTheme="majorBidi" w:cstheme="majorBidi"/>
          <w:sz w:val="20"/>
          <w:szCs w:val="20"/>
        </w:rPr>
      </w:pPr>
      <w:proofErr w:type="spellStart"/>
      <w:r w:rsidRPr="009F66AC">
        <w:rPr>
          <w:rFonts w:asciiTheme="majorBidi" w:hAnsiTheme="majorBidi" w:cstheme="majorBidi"/>
          <w:sz w:val="20"/>
          <w:szCs w:val="20"/>
        </w:rPr>
        <w:t>Maclarence</w:t>
      </w:r>
      <w:proofErr w:type="spellEnd"/>
      <w:r w:rsidRPr="009F66AC">
        <w:rPr>
          <w:rFonts w:asciiTheme="majorBidi" w:hAnsiTheme="majorBidi" w:cstheme="majorBidi"/>
          <w:sz w:val="20"/>
          <w:szCs w:val="20"/>
        </w:rPr>
        <w:t>, V.W., 1996. Urban sustainability repo</w:t>
      </w:r>
      <w:r>
        <w:rPr>
          <w:rFonts w:asciiTheme="majorBidi" w:hAnsiTheme="majorBidi" w:cstheme="majorBidi"/>
          <w:sz w:val="20"/>
          <w:szCs w:val="20"/>
        </w:rPr>
        <w:t xml:space="preserve">rting. J. Am. </w:t>
      </w:r>
      <w:proofErr w:type="spellStart"/>
      <w:r>
        <w:rPr>
          <w:rFonts w:asciiTheme="majorBidi" w:hAnsiTheme="majorBidi" w:cstheme="majorBidi"/>
          <w:sz w:val="20"/>
          <w:szCs w:val="20"/>
        </w:rPr>
        <w:t>Plann</w:t>
      </w:r>
      <w:proofErr w:type="spellEnd"/>
      <w:r>
        <w:rPr>
          <w:rFonts w:asciiTheme="majorBidi" w:hAnsiTheme="majorBidi" w:cstheme="majorBidi"/>
          <w:sz w:val="20"/>
          <w:szCs w:val="20"/>
        </w:rPr>
        <w:t xml:space="preserve">. Assoc. 02, </w:t>
      </w:r>
      <w:r w:rsidRPr="009F66AC">
        <w:rPr>
          <w:rFonts w:asciiTheme="majorBidi" w:hAnsiTheme="majorBidi" w:cstheme="majorBidi"/>
          <w:sz w:val="20"/>
          <w:szCs w:val="20"/>
        </w:rPr>
        <w:t>185</w:t>
      </w:r>
      <w:r>
        <w:rPr>
          <w:rFonts w:asciiTheme="majorBidi" w:hAnsiTheme="majorBidi" w:cstheme="majorBidi"/>
          <w:sz w:val="20"/>
          <w:szCs w:val="20"/>
        </w:rPr>
        <w:t>-</w:t>
      </w:r>
      <w:r w:rsidRPr="009F66AC">
        <w:rPr>
          <w:rFonts w:asciiTheme="majorBidi" w:hAnsiTheme="majorBidi" w:cstheme="majorBidi"/>
          <w:sz w:val="20"/>
          <w:szCs w:val="20"/>
        </w:rPr>
        <w:t>202.</w:t>
      </w:r>
    </w:p>
    <w:p w:rsidR="00EF191F" w:rsidRPr="009F66AC" w:rsidRDefault="00EF191F" w:rsidP="00EF191F">
      <w:pPr>
        <w:bidi w:val="0"/>
        <w:spacing w:before="120" w:after="120"/>
        <w:ind w:firstLine="720"/>
        <w:rPr>
          <w:rFonts w:asciiTheme="majorBidi" w:hAnsiTheme="majorBidi" w:cstheme="majorBidi"/>
          <w:sz w:val="20"/>
          <w:szCs w:val="20"/>
        </w:rPr>
      </w:pPr>
      <w:proofErr w:type="spellStart"/>
      <w:r w:rsidRPr="009F66AC">
        <w:rPr>
          <w:rFonts w:asciiTheme="majorBidi" w:hAnsiTheme="majorBidi" w:cstheme="majorBidi"/>
          <w:sz w:val="20"/>
          <w:szCs w:val="20"/>
        </w:rPr>
        <w:t>Masnavi</w:t>
      </w:r>
      <w:proofErr w:type="spellEnd"/>
      <w:r w:rsidRPr="009F66AC">
        <w:rPr>
          <w:rFonts w:asciiTheme="majorBidi" w:hAnsiTheme="majorBidi" w:cstheme="majorBidi"/>
          <w:sz w:val="20"/>
          <w:szCs w:val="20"/>
        </w:rPr>
        <w:t>, M.R., 2007. Measuring urban sustain</w:t>
      </w:r>
      <w:r>
        <w:rPr>
          <w:rFonts w:asciiTheme="majorBidi" w:hAnsiTheme="majorBidi" w:cstheme="majorBidi"/>
          <w:sz w:val="20"/>
          <w:szCs w:val="20"/>
        </w:rPr>
        <w:t xml:space="preserve">ability developing a conceptual </w:t>
      </w:r>
      <w:r w:rsidRPr="009F66AC">
        <w:rPr>
          <w:rFonts w:asciiTheme="majorBidi" w:hAnsiTheme="majorBidi" w:cstheme="majorBidi"/>
          <w:sz w:val="20"/>
          <w:szCs w:val="20"/>
        </w:rPr>
        <w:t>framework for bridging the gap between theoret</w:t>
      </w:r>
      <w:r>
        <w:rPr>
          <w:rFonts w:asciiTheme="majorBidi" w:hAnsiTheme="majorBidi" w:cstheme="majorBidi"/>
          <w:sz w:val="20"/>
          <w:szCs w:val="20"/>
        </w:rPr>
        <w:t xml:space="preserve">ical levels and the operational </w:t>
      </w:r>
      <w:r w:rsidRPr="009F66AC">
        <w:rPr>
          <w:rFonts w:asciiTheme="majorBidi" w:hAnsiTheme="majorBidi" w:cstheme="majorBidi"/>
          <w:sz w:val="20"/>
          <w:szCs w:val="20"/>
        </w:rPr>
        <w:t>levels. Int. J. Environ. Res. 2, 188</w:t>
      </w:r>
      <w:r>
        <w:rPr>
          <w:rFonts w:asciiTheme="majorBidi" w:hAnsiTheme="majorBidi" w:cstheme="majorBidi"/>
          <w:sz w:val="20"/>
          <w:szCs w:val="20"/>
        </w:rPr>
        <w:t>-</w:t>
      </w:r>
      <w:r w:rsidRPr="009F66AC">
        <w:rPr>
          <w:rFonts w:asciiTheme="majorBidi" w:hAnsiTheme="majorBidi" w:cstheme="majorBidi"/>
          <w:sz w:val="20"/>
          <w:szCs w:val="20"/>
        </w:rPr>
        <w:t>197.</w:t>
      </w:r>
    </w:p>
    <w:p w:rsidR="00EF191F" w:rsidRDefault="00EF191F" w:rsidP="00EF191F">
      <w:pPr>
        <w:bidi w:val="0"/>
        <w:spacing w:before="120" w:after="120"/>
        <w:ind w:firstLine="720"/>
        <w:rPr>
          <w:rFonts w:asciiTheme="majorBidi" w:hAnsiTheme="majorBidi" w:cstheme="majorBidi"/>
          <w:sz w:val="20"/>
          <w:szCs w:val="20"/>
        </w:rPr>
      </w:pPr>
      <w:r w:rsidRPr="009F66AC">
        <w:rPr>
          <w:rFonts w:asciiTheme="majorBidi" w:hAnsiTheme="majorBidi" w:cstheme="majorBidi"/>
          <w:sz w:val="20"/>
          <w:szCs w:val="20"/>
        </w:rPr>
        <w:t>Millennium Ecosystem Assessment, 2003. Eco</w:t>
      </w:r>
      <w:r>
        <w:rPr>
          <w:rFonts w:asciiTheme="majorBidi" w:hAnsiTheme="majorBidi" w:cstheme="majorBidi"/>
          <w:sz w:val="20"/>
          <w:szCs w:val="20"/>
        </w:rPr>
        <w:t xml:space="preserve">systems and Human </w:t>
      </w:r>
      <w:proofErr w:type="spellStart"/>
      <w:r>
        <w:rPr>
          <w:rFonts w:asciiTheme="majorBidi" w:hAnsiTheme="majorBidi" w:cstheme="majorBidi"/>
          <w:sz w:val="20"/>
          <w:szCs w:val="20"/>
        </w:rPr>
        <w:t>Wel-lbeing</w:t>
      </w:r>
      <w:proofErr w:type="spellEnd"/>
      <w:r>
        <w:rPr>
          <w:rFonts w:asciiTheme="majorBidi" w:hAnsiTheme="majorBidi" w:cstheme="majorBidi"/>
          <w:sz w:val="20"/>
          <w:szCs w:val="20"/>
        </w:rPr>
        <w:t xml:space="preserve">: a </w:t>
      </w:r>
      <w:r w:rsidRPr="009F66AC">
        <w:rPr>
          <w:rFonts w:asciiTheme="majorBidi" w:hAnsiTheme="majorBidi" w:cstheme="majorBidi"/>
          <w:sz w:val="20"/>
          <w:szCs w:val="20"/>
        </w:rPr>
        <w:t>Framework for Assessment. Island Press, Washing DC</w:t>
      </w:r>
      <w:r>
        <w:rPr>
          <w:rFonts w:asciiTheme="majorBidi" w:hAnsiTheme="majorBidi" w:cstheme="majorBidi"/>
          <w:sz w:val="20"/>
          <w:szCs w:val="20"/>
        </w:rPr>
        <w:t>.</w:t>
      </w:r>
    </w:p>
    <w:p w:rsidR="00EF191F" w:rsidRPr="009F66AC" w:rsidRDefault="00EF191F" w:rsidP="00EF191F">
      <w:pPr>
        <w:bidi w:val="0"/>
        <w:spacing w:before="120" w:after="120"/>
        <w:ind w:firstLine="720"/>
        <w:rPr>
          <w:rFonts w:asciiTheme="majorBidi" w:hAnsiTheme="majorBidi" w:cstheme="majorBidi"/>
          <w:sz w:val="20"/>
          <w:szCs w:val="20"/>
        </w:rPr>
      </w:pPr>
      <w:r w:rsidRPr="009F66AC">
        <w:rPr>
          <w:rFonts w:asciiTheme="majorBidi" w:hAnsiTheme="majorBidi" w:cstheme="majorBidi"/>
          <w:sz w:val="20"/>
          <w:szCs w:val="20"/>
        </w:rPr>
        <w:t>Millennium Ecosystem Assessment, 2005. E</w:t>
      </w:r>
      <w:r>
        <w:rPr>
          <w:rFonts w:asciiTheme="majorBidi" w:hAnsiTheme="majorBidi" w:cstheme="majorBidi"/>
          <w:sz w:val="20"/>
          <w:szCs w:val="20"/>
        </w:rPr>
        <w:t xml:space="preserve">cosystems and Human </w:t>
      </w:r>
      <w:proofErr w:type="spellStart"/>
      <w:r>
        <w:rPr>
          <w:rFonts w:asciiTheme="majorBidi" w:hAnsiTheme="majorBidi" w:cstheme="majorBidi"/>
          <w:sz w:val="20"/>
          <w:szCs w:val="20"/>
        </w:rPr>
        <w:t>Wel-lbeing</w:t>
      </w:r>
      <w:proofErr w:type="spellEnd"/>
      <w:r>
        <w:rPr>
          <w:rFonts w:asciiTheme="majorBidi" w:hAnsiTheme="majorBidi" w:cstheme="majorBidi"/>
          <w:sz w:val="20"/>
          <w:szCs w:val="20"/>
        </w:rPr>
        <w:t xml:space="preserve">: </w:t>
      </w:r>
      <w:r w:rsidRPr="009F66AC">
        <w:rPr>
          <w:rFonts w:asciiTheme="majorBidi" w:hAnsiTheme="majorBidi" w:cstheme="majorBidi"/>
          <w:sz w:val="20"/>
          <w:szCs w:val="20"/>
        </w:rPr>
        <w:t>Synthesis. Island Press, Washing DC.</w:t>
      </w:r>
    </w:p>
    <w:p w:rsidR="00EF191F" w:rsidRPr="009F66AC" w:rsidRDefault="00EF191F" w:rsidP="00EF191F">
      <w:pPr>
        <w:bidi w:val="0"/>
        <w:spacing w:before="120" w:after="120"/>
        <w:ind w:firstLine="720"/>
        <w:rPr>
          <w:rFonts w:asciiTheme="majorBidi" w:hAnsiTheme="majorBidi" w:cstheme="majorBidi"/>
          <w:sz w:val="20"/>
          <w:szCs w:val="20"/>
        </w:rPr>
      </w:pPr>
      <w:r w:rsidRPr="009F66AC">
        <w:rPr>
          <w:rFonts w:asciiTheme="majorBidi" w:hAnsiTheme="majorBidi" w:cstheme="majorBidi"/>
          <w:sz w:val="20"/>
          <w:szCs w:val="20"/>
        </w:rPr>
        <w:t>Ministry of Housing and Urban-Rural Development, 2001-</w:t>
      </w:r>
      <w:r>
        <w:rPr>
          <w:rFonts w:asciiTheme="majorBidi" w:hAnsiTheme="majorBidi" w:cstheme="majorBidi"/>
          <w:sz w:val="20"/>
          <w:szCs w:val="20"/>
        </w:rPr>
        <w:t xml:space="preserve">2011. Chinese City Construction </w:t>
      </w:r>
      <w:r w:rsidRPr="009F66AC">
        <w:rPr>
          <w:rFonts w:asciiTheme="majorBidi" w:hAnsiTheme="majorBidi" w:cstheme="majorBidi"/>
          <w:sz w:val="20"/>
          <w:szCs w:val="20"/>
        </w:rPr>
        <w:t>Statistical Yearbook (2000-2010). China Planning Press, Beijing.</w:t>
      </w:r>
    </w:p>
    <w:p w:rsidR="00EF191F" w:rsidRPr="009F66AC" w:rsidRDefault="00EF191F" w:rsidP="00EF191F">
      <w:pPr>
        <w:bidi w:val="0"/>
        <w:spacing w:before="120" w:after="120"/>
        <w:ind w:firstLine="720"/>
        <w:rPr>
          <w:rFonts w:asciiTheme="majorBidi" w:hAnsiTheme="majorBidi" w:cstheme="majorBidi"/>
          <w:sz w:val="20"/>
          <w:szCs w:val="20"/>
        </w:rPr>
      </w:pPr>
      <w:r w:rsidRPr="009F66AC">
        <w:rPr>
          <w:rFonts w:asciiTheme="majorBidi" w:hAnsiTheme="majorBidi" w:cstheme="majorBidi"/>
          <w:sz w:val="20"/>
          <w:szCs w:val="20"/>
        </w:rPr>
        <w:t>Mori, K., Christodoulou, A., 2012. Review of sustain</w:t>
      </w:r>
      <w:r>
        <w:rPr>
          <w:rFonts w:asciiTheme="majorBidi" w:hAnsiTheme="majorBidi" w:cstheme="majorBidi"/>
          <w:sz w:val="20"/>
          <w:szCs w:val="20"/>
        </w:rPr>
        <w:t xml:space="preserve">ability indices and indicators: </w:t>
      </w:r>
      <w:r w:rsidRPr="009F66AC">
        <w:rPr>
          <w:rFonts w:asciiTheme="majorBidi" w:hAnsiTheme="majorBidi" w:cstheme="majorBidi"/>
          <w:sz w:val="20"/>
          <w:szCs w:val="20"/>
        </w:rPr>
        <w:t xml:space="preserve">towards a new City Sustainability Index (CSI). </w:t>
      </w:r>
      <w:r>
        <w:rPr>
          <w:rFonts w:asciiTheme="majorBidi" w:hAnsiTheme="majorBidi" w:cstheme="majorBidi"/>
          <w:sz w:val="20"/>
          <w:szCs w:val="20"/>
        </w:rPr>
        <w:t xml:space="preserve">Environ. Impact Assess. Rev. 32 </w:t>
      </w:r>
      <w:r w:rsidRPr="009F66AC">
        <w:rPr>
          <w:rFonts w:asciiTheme="majorBidi" w:hAnsiTheme="majorBidi" w:cstheme="majorBidi"/>
          <w:sz w:val="20"/>
          <w:szCs w:val="20"/>
        </w:rPr>
        <w:t>(1), 94</w:t>
      </w:r>
      <w:r>
        <w:rPr>
          <w:rFonts w:asciiTheme="majorBidi" w:hAnsiTheme="majorBidi" w:cstheme="majorBidi"/>
          <w:sz w:val="20"/>
          <w:szCs w:val="20"/>
        </w:rPr>
        <w:t>-</w:t>
      </w:r>
      <w:r w:rsidRPr="009F66AC">
        <w:rPr>
          <w:rFonts w:asciiTheme="majorBidi" w:hAnsiTheme="majorBidi" w:cstheme="majorBidi"/>
          <w:sz w:val="20"/>
          <w:szCs w:val="20"/>
        </w:rPr>
        <w:t>106.</w:t>
      </w:r>
    </w:p>
    <w:p w:rsidR="00EF191F" w:rsidRPr="009F66AC" w:rsidRDefault="00EF191F" w:rsidP="00EF191F">
      <w:pPr>
        <w:bidi w:val="0"/>
        <w:spacing w:before="120" w:after="120"/>
        <w:ind w:firstLine="720"/>
        <w:rPr>
          <w:rFonts w:asciiTheme="majorBidi" w:hAnsiTheme="majorBidi" w:cstheme="majorBidi"/>
          <w:sz w:val="20"/>
          <w:szCs w:val="20"/>
        </w:rPr>
      </w:pPr>
      <w:proofErr w:type="spellStart"/>
      <w:r w:rsidRPr="009F66AC">
        <w:rPr>
          <w:rFonts w:asciiTheme="majorBidi" w:hAnsiTheme="majorBidi" w:cstheme="majorBidi"/>
          <w:sz w:val="20"/>
          <w:szCs w:val="20"/>
        </w:rPr>
        <w:t>Mutisya</w:t>
      </w:r>
      <w:proofErr w:type="spellEnd"/>
      <w:r w:rsidRPr="009F66AC">
        <w:rPr>
          <w:rFonts w:asciiTheme="majorBidi" w:hAnsiTheme="majorBidi" w:cstheme="majorBidi"/>
          <w:sz w:val="20"/>
          <w:szCs w:val="20"/>
        </w:rPr>
        <w:t xml:space="preserve">, E., </w:t>
      </w:r>
      <w:proofErr w:type="spellStart"/>
      <w:r w:rsidRPr="009F66AC">
        <w:rPr>
          <w:rFonts w:asciiTheme="majorBidi" w:hAnsiTheme="majorBidi" w:cstheme="majorBidi"/>
          <w:sz w:val="20"/>
          <w:szCs w:val="20"/>
        </w:rPr>
        <w:t>Yarime</w:t>
      </w:r>
      <w:proofErr w:type="spellEnd"/>
      <w:r w:rsidRPr="009F66AC">
        <w:rPr>
          <w:rFonts w:asciiTheme="majorBidi" w:hAnsiTheme="majorBidi" w:cstheme="majorBidi"/>
          <w:sz w:val="20"/>
          <w:szCs w:val="20"/>
        </w:rPr>
        <w:t>, M., 2013. Moving towards u</w:t>
      </w:r>
      <w:r>
        <w:rPr>
          <w:rFonts w:asciiTheme="majorBidi" w:hAnsiTheme="majorBidi" w:cstheme="majorBidi"/>
          <w:sz w:val="20"/>
          <w:szCs w:val="20"/>
        </w:rPr>
        <w:t xml:space="preserve">rban sustainability in Kenya: a </w:t>
      </w:r>
      <w:r w:rsidRPr="009F66AC">
        <w:rPr>
          <w:rFonts w:asciiTheme="majorBidi" w:hAnsiTheme="majorBidi" w:cstheme="majorBidi"/>
          <w:sz w:val="20"/>
          <w:szCs w:val="20"/>
        </w:rPr>
        <w:t xml:space="preserve">framework for integration of environmental, </w:t>
      </w:r>
      <w:r>
        <w:rPr>
          <w:rFonts w:asciiTheme="majorBidi" w:hAnsiTheme="majorBidi" w:cstheme="majorBidi"/>
          <w:sz w:val="20"/>
          <w:szCs w:val="20"/>
        </w:rPr>
        <w:t xml:space="preserve">economic, social and governance </w:t>
      </w:r>
      <w:r w:rsidRPr="009F66AC">
        <w:rPr>
          <w:rFonts w:asciiTheme="majorBidi" w:hAnsiTheme="majorBidi" w:cstheme="majorBidi"/>
          <w:sz w:val="20"/>
          <w:szCs w:val="20"/>
        </w:rPr>
        <w:t>dimensions. Sustain. Sci. 9 (2), 205</w:t>
      </w:r>
      <w:r>
        <w:rPr>
          <w:rFonts w:asciiTheme="majorBidi" w:hAnsiTheme="majorBidi" w:cstheme="majorBidi"/>
          <w:sz w:val="20"/>
          <w:szCs w:val="20"/>
        </w:rPr>
        <w:t>-</w:t>
      </w:r>
      <w:r w:rsidRPr="009F66AC">
        <w:rPr>
          <w:rFonts w:asciiTheme="majorBidi" w:hAnsiTheme="majorBidi" w:cstheme="majorBidi"/>
          <w:sz w:val="20"/>
          <w:szCs w:val="20"/>
        </w:rPr>
        <w:t>215.</w:t>
      </w:r>
    </w:p>
    <w:p w:rsidR="00EF191F" w:rsidRDefault="00EF191F" w:rsidP="00EF191F">
      <w:pPr>
        <w:tabs>
          <w:tab w:val="left" w:pos="24"/>
        </w:tabs>
        <w:bidi w:val="0"/>
        <w:spacing w:line="260" w:lineRule="exact"/>
        <w:rPr>
          <w:b/>
          <w:sz w:val="24"/>
          <w:szCs w:val="18"/>
        </w:rPr>
      </w:pPr>
    </w:p>
    <w:p w:rsidR="00EF191F" w:rsidRDefault="00EF191F" w:rsidP="00EF191F">
      <w:pPr>
        <w:tabs>
          <w:tab w:val="left" w:pos="24"/>
        </w:tabs>
        <w:bidi w:val="0"/>
        <w:spacing w:line="260" w:lineRule="exact"/>
        <w:rPr>
          <w:b/>
          <w:sz w:val="24"/>
          <w:szCs w:val="18"/>
        </w:rPr>
      </w:pPr>
    </w:p>
    <w:p w:rsidR="00EF191F" w:rsidRDefault="00EF191F" w:rsidP="00EF191F">
      <w:pPr>
        <w:tabs>
          <w:tab w:val="left" w:pos="24"/>
        </w:tabs>
        <w:bidi w:val="0"/>
        <w:spacing w:line="260" w:lineRule="exact"/>
        <w:rPr>
          <w:b/>
          <w:sz w:val="24"/>
          <w:szCs w:val="18"/>
        </w:rPr>
      </w:pPr>
    </w:p>
    <w:p w:rsidR="00EF191F" w:rsidRDefault="00EF191F" w:rsidP="00EF191F">
      <w:pPr>
        <w:tabs>
          <w:tab w:val="left" w:pos="24"/>
        </w:tabs>
        <w:bidi w:val="0"/>
        <w:spacing w:line="260" w:lineRule="exact"/>
        <w:rPr>
          <w:b/>
          <w:sz w:val="24"/>
          <w:szCs w:val="18"/>
        </w:rPr>
      </w:pPr>
    </w:p>
    <w:p w:rsidR="00EF191F" w:rsidRDefault="00EF191F" w:rsidP="00EF191F">
      <w:pPr>
        <w:tabs>
          <w:tab w:val="left" w:pos="24"/>
        </w:tabs>
        <w:bidi w:val="0"/>
        <w:spacing w:line="260" w:lineRule="exact"/>
        <w:rPr>
          <w:b/>
          <w:sz w:val="24"/>
          <w:szCs w:val="18"/>
        </w:rPr>
      </w:pPr>
    </w:p>
    <w:p w:rsidR="00EF191F" w:rsidRDefault="00EF191F" w:rsidP="00EF191F">
      <w:pPr>
        <w:tabs>
          <w:tab w:val="left" w:pos="24"/>
        </w:tabs>
        <w:bidi w:val="0"/>
        <w:spacing w:line="260" w:lineRule="exact"/>
        <w:rPr>
          <w:b/>
          <w:sz w:val="24"/>
          <w:szCs w:val="18"/>
        </w:rPr>
      </w:pPr>
    </w:p>
    <w:p w:rsidR="00EF191F" w:rsidRDefault="00EF191F" w:rsidP="00EF191F">
      <w:pPr>
        <w:tabs>
          <w:tab w:val="left" w:pos="24"/>
        </w:tabs>
        <w:bidi w:val="0"/>
        <w:spacing w:line="260" w:lineRule="exact"/>
        <w:rPr>
          <w:b/>
          <w:sz w:val="24"/>
          <w:szCs w:val="18"/>
        </w:rPr>
      </w:pPr>
    </w:p>
    <w:p w:rsidR="00EF191F" w:rsidRDefault="00EF191F" w:rsidP="00EF191F">
      <w:pPr>
        <w:tabs>
          <w:tab w:val="left" w:pos="24"/>
        </w:tabs>
        <w:bidi w:val="0"/>
        <w:spacing w:line="260" w:lineRule="exact"/>
        <w:rPr>
          <w:b/>
          <w:sz w:val="24"/>
          <w:szCs w:val="18"/>
        </w:rPr>
      </w:pPr>
    </w:p>
    <w:p w:rsidR="00EF191F" w:rsidRDefault="00EF191F" w:rsidP="00EF191F">
      <w:pPr>
        <w:tabs>
          <w:tab w:val="left" w:pos="24"/>
        </w:tabs>
        <w:bidi w:val="0"/>
        <w:spacing w:line="260" w:lineRule="exact"/>
        <w:rPr>
          <w:b/>
          <w:sz w:val="24"/>
          <w:szCs w:val="18"/>
        </w:rPr>
      </w:pPr>
    </w:p>
    <w:p w:rsidR="00EF191F" w:rsidRDefault="00EF191F" w:rsidP="00EF191F">
      <w:pPr>
        <w:tabs>
          <w:tab w:val="left" w:pos="24"/>
        </w:tabs>
        <w:bidi w:val="0"/>
        <w:spacing w:line="260" w:lineRule="exact"/>
        <w:rPr>
          <w:b/>
          <w:sz w:val="24"/>
          <w:szCs w:val="18"/>
        </w:rPr>
      </w:pPr>
    </w:p>
    <w:p w:rsidR="00EF191F" w:rsidRDefault="00EF191F" w:rsidP="00EF191F">
      <w:pPr>
        <w:tabs>
          <w:tab w:val="left" w:pos="24"/>
        </w:tabs>
        <w:bidi w:val="0"/>
        <w:spacing w:line="260" w:lineRule="exact"/>
        <w:rPr>
          <w:b/>
          <w:sz w:val="24"/>
          <w:szCs w:val="18"/>
        </w:rPr>
      </w:pPr>
    </w:p>
    <w:p w:rsidR="00EF191F" w:rsidRDefault="00EF191F" w:rsidP="00EF191F">
      <w:pPr>
        <w:tabs>
          <w:tab w:val="left" w:pos="24"/>
        </w:tabs>
        <w:bidi w:val="0"/>
        <w:spacing w:line="260" w:lineRule="exact"/>
        <w:rPr>
          <w:b/>
          <w:sz w:val="24"/>
          <w:szCs w:val="18"/>
        </w:rPr>
      </w:pPr>
    </w:p>
    <w:p w:rsidR="00EF191F" w:rsidRDefault="00EF191F" w:rsidP="00EF191F">
      <w:pPr>
        <w:tabs>
          <w:tab w:val="left" w:pos="24"/>
        </w:tabs>
        <w:bidi w:val="0"/>
        <w:spacing w:line="260" w:lineRule="exact"/>
        <w:rPr>
          <w:b/>
          <w:sz w:val="24"/>
          <w:szCs w:val="18"/>
        </w:rPr>
      </w:pPr>
    </w:p>
    <w:p w:rsidR="00EF191F" w:rsidRDefault="00EF191F" w:rsidP="00EF191F">
      <w:pPr>
        <w:tabs>
          <w:tab w:val="left" w:pos="24"/>
        </w:tabs>
        <w:bidi w:val="0"/>
        <w:spacing w:line="260" w:lineRule="exact"/>
        <w:rPr>
          <w:b/>
          <w:sz w:val="24"/>
          <w:szCs w:val="18"/>
        </w:rPr>
      </w:pPr>
    </w:p>
    <w:p w:rsidR="00EF191F" w:rsidRDefault="00EF191F" w:rsidP="00EF191F">
      <w:pPr>
        <w:tabs>
          <w:tab w:val="left" w:pos="24"/>
        </w:tabs>
        <w:bidi w:val="0"/>
        <w:spacing w:line="260" w:lineRule="exact"/>
        <w:rPr>
          <w:b/>
          <w:sz w:val="24"/>
          <w:szCs w:val="18"/>
        </w:rPr>
      </w:pPr>
    </w:p>
    <w:p w:rsidR="00EF191F" w:rsidRDefault="00EF191F" w:rsidP="00EF191F">
      <w:pPr>
        <w:tabs>
          <w:tab w:val="left" w:pos="24"/>
        </w:tabs>
        <w:bidi w:val="0"/>
        <w:spacing w:line="260" w:lineRule="exact"/>
        <w:rPr>
          <w:b/>
          <w:sz w:val="24"/>
          <w:szCs w:val="18"/>
        </w:rPr>
      </w:pPr>
    </w:p>
    <w:p w:rsidR="00EF191F" w:rsidRDefault="00EF191F" w:rsidP="00EF191F">
      <w:pPr>
        <w:tabs>
          <w:tab w:val="left" w:pos="24"/>
        </w:tabs>
        <w:bidi w:val="0"/>
        <w:spacing w:line="260" w:lineRule="exact"/>
        <w:rPr>
          <w:b/>
          <w:sz w:val="24"/>
          <w:szCs w:val="18"/>
        </w:rPr>
      </w:pPr>
    </w:p>
    <w:p w:rsidR="00EF191F" w:rsidRDefault="00EF191F" w:rsidP="00EF191F">
      <w:pPr>
        <w:tabs>
          <w:tab w:val="left" w:pos="24"/>
        </w:tabs>
        <w:bidi w:val="0"/>
        <w:spacing w:line="260" w:lineRule="exact"/>
        <w:rPr>
          <w:b/>
          <w:sz w:val="24"/>
          <w:szCs w:val="18"/>
        </w:rPr>
      </w:pPr>
    </w:p>
    <w:p w:rsidR="00EF191F" w:rsidRDefault="00EF191F" w:rsidP="00EF191F">
      <w:pPr>
        <w:tabs>
          <w:tab w:val="left" w:pos="24"/>
        </w:tabs>
        <w:bidi w:val="0"/>
        <w:spacing w:line="260" w:lineRule="exact"/>
        <w:rPr>
          <w:b/>
          <w:sz w:val="24"/>
          <w:szCs w:val="18"/>
        </w:rPr>
      </w:pPr>
    </w:p>
    <w:p w:rsidR="00EF191F" w:rsidRDefault="00EF191F" w:rsidP="00EF191F">
      <w:pPr>
        <w:tabs>
          <w:tab w:val="left" w:pos="24"/>
        </w:tabs>
        <w:bidi w:val="0"/>
        <w:spacing w:line="260" w:lineRule="exact"/>
        <w:rPr>
          <w:b/>
          <w:sz w:val="24"/>
          <w:szCs w:val="18"/>
        </w:rPr>
      </w:pPr>
    </w:p>
    <w:p w:rsidR="00EF191F" w:rsidRDefault="00EF191F" w:rsidP="00EF191F">
      <w:pPr>
        <w:tabs>
          <w:tab w:val="left" w:pos="24"/>
        </w:tabs>
        <w:bidi w:val="0"/>
        <w:spacing w:line="260" w:lineRule="exact"/>
        <w:rPr>
          <w:b/>
          <w:sz w:val="24"/>
          <w:szCs w:val="18"/>
        </w:rPr>
      </w:pPr>
    </w:p>
    <w:p w:rsidR="00EF191F" w:rsidRDefault="00EF191F" w:rsidP="00EF191F">
      <w:pPr>
        <w:tabs>
          <w:tab w:val="left" w:pos="24"/>
        </w:tabs>
        <w:bidi w:val="0"/>
        <w:spacing w:line="260" w:lineRule="exact"/>
        <w:rPr>
          <w:b/>
          <w:sz w:val="24"/>
          <w:szCs w:val="18"/>
        </w:rPr>
      </w:pPr>
    </w:p>
    <w:p w:rsidR="00EF191F" w:rsidRDefault="00EF191F" w:rsidP="00EF191F">
      <w:pPr>
        <w:tabs>
          <w:tab w:val="left" w:pos="24"/>
        </w:tabs>
        <w:bidi w:val="0"/>
        <w:spacing w:line="260" w:lineRule="exact"/>
        <w:rPr>
          <w:b/>
          <w:sz w:val="24"/>
          <w:szCs w:val="18"/>
        </w:rPr>
      </w:pPr>
    </w:p>
    <w:p w:rsidR="00EF191F" w:rsidRDefault="00EF191F" w:rsidP="00EF191F">
      <w:pPr>
        <w:tabs>
          <w:tab w:val="left" w:pos="24"/>
        </w:tabs>
        <w:bidi w:val="0"/>
        <w:spacing w:line="260" w:lineRule="exact"/>
        <w:rPr>
          <w:b/>
          <w:sz w:val="24"/>
          <w:szCs w:val="18"/>
        </w:rPr>
      </w:pPr>
    </w:p>
    <w:p w:rsidR="00EF191F" w:rsidRDefault="00EF191F" w:rsidP="00EF191F">
      <w:pPr>
        <w:tabs>
          <w:tab w:val="left" w:pos="24"/>
        </w:tabs>
        <w:bidi w:val="0"/>
        <w:spacing w:line="260" w:lineRule="exact"/>
        <w:rPr>
          <w:b/>
          <w:sz w:val="24"/>
          <w:szCs w:val="18"/>
        </w:rPr>
      </w:pPr>
    </w:p>
    <w:p w:rsidR="00EF191F" w:rsidRDefault="00EF191F" w:rsidP="00EF191F">
      <w:pPr>
        <w:tabs>
          <w:tab w:val="left" w:pos="24"/>
        </w:tabs>
        <w:bidi w:val="0"/>
        <w:spacing w:line="260" w:lineRule="exact"/>
        <w:rPr>
          <w:b/>
          <w:sz w:val="24"/>
          <w:szCs w:val="18"/>
        </w:rPr>
      </w:pPr>
    </w:p>
    <w:p w:rsidR="00EF191F" w:rsidRDefault="00EF191F" w:rsidP="00EF191F">
      <w:pPr>
        <w:tabs>
          <w:tab w:val="left" w:pos="24"/>
        </w:tabs>
        <w:bidi w:val="0"/>
        <w:spacing w:line="260" w:lineRule="exact"/>
        <w:rPr>
          <w:b/>
          <w:sz w:val="24"/>
          <w:szCs w:val="18"/>
        </w:rPr>
      </w:pPr>
    </w:p>
    <w:p w:rsidR="00EF191F" w:rsidRDefault="00EF191F" w:rsidP="00EF191F">
      <w:pPr>
        <w:tabs>
          <w:tab w:val="left" w:pos="24"/>
        </w:tabs>
        <w:bidi w:val="0"/>
        <w:spacing w:line="260" w:lineRule="exact"/>
        <w:rPr>
          <w:b/>
          <w:sz w:val="24"/>
          <w:szCs w:val="18"/>
        </w:rPr>
      </w:pPr>
    </w:p>
    <w:p w:rsidR="00EF191F" w:rsidRDefault="00EF191F" w:rsidP="00EF191F">
      <w:pPr>
        <w:tabs>
          <w:tab w:val="left" w:pos="24"/>
        </w:tabs>
        <w:bidi w:val="0"/>
        <w:spacing w:line="260" w:lineRule="exact"/>
        <w:rPr>
          <w:b/>
          <w:sz w:val="24"/>
          <w:szCs w:val="18"/>
        </w:rPr>
      </w:pPr>
    </w:p>
    <w:p w:rsidR="00EF191F" w:rsidRDefault="00EF191F" w:rsidP="00EF191F">
      <w:pPr>
        <w:tabs>
          <w:tab w:val="left" w:pos="24"/>
        </w:tabs>
        <w:bidi w:val="0"/>
        <w:spacing w:line="260" w:lineRule="exact"/>
        <w:rPr>
          <w:b/>
          <w:sz w:val="24"/>
          <w:szCs w:val="18"/>
        </w:rPr>
      </w:pPr>
    </w:p>
    <w:p w:rsidR="00B26181" w:rsidRPr="00453FE1" w:rsidRDefault="00B26181" w:rsidP="002F313B">
      <w:pPr>
        <w:autoSpaceDE w:val="0"/>
        <w:autoSpaceDN w:val="0"/>
        <w:bidi w:val="0"/>
        <w:adjustRightInd w:val="0"/>
        <w:ind w:firstLine="0"/>
        <w:rPr>
          <w:sz w:val="20"/>
          <w:szCs w:val="20"/>
          <w:rtl/>
        </w:rPr>
      </w:pPr>
      <w:bookmarkStart w:id="0" w:name="_GoBack"/>
      <w:bookmarkEnd w:id="0"/>
    </w:p>
    <w:sectPr w:rsidR="00B26181" w:rsidRPr="00453FE1" w:rsidSect="00524874">
      <w:headerReference w:type="first" r:id="rId15"/>
      <w:footnotePr>
        <w:numRestart w:val="eachPage"/>
      </w:footnotePr>
      <w:type w:val="continuous"/>
      <w:pgSz w:w="11907" w:h="16840" w:code="9"/>
      <w:pgMar w:top="1701" w:right="1418" w:bottom="1418" w:left="1418" w:header="1134" w:footer="1418" w:gutter="0"/>
      <w:cols w:space="709"/>
      <w:titlePg/>
      <w:bidi/>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0E88" w:rsidRDefault="009A0E88" w:rsidP="0034061F">
      <w:r>
        <w:separator/>
      </w:r>
    </w:p>
  </w:endnote>
  <w:endnote w:type="continuationSeparator" w:id="0">
    <w:p w:rsidR="009A0E88" w:rsidRDefault="009A0E88" w:rsidP="00340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Mitra">
    <w:panose1 w:val="00000400000000000000"/>
    <w:charset w:val="B2"/>
    <w:family w:val="auto"/>
    <w:pitch w:val="variable"/>
    <w:sig w:usb0="00002001" w:usb1="80000000" w:usb2="00000008" w:usb3="00000000" w:csb0="00000040" w:csb1="00000000"/>
  </w:font>
  <w:font w:name="Times New Romans">
    <w:altName w:val="Times New Roman"/>
    <w:panose1 w:val="00000000000000000000"/>
    <w:charset w:val="00"/>
    <w:family w:val="roman"/>
    <w:notTrueType/>
    <w:pitch w:val="default"/>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0E88" w:rsidRDefault="009A0E88" w:rsidP="0034061F">
      <w:r>
        <w:separator/>
      </w:r>
    </w:p>
  </w:footnote>
  <w:footnote w:type="continuationSeparator" w:id="0">
    <w:p w:rsidR="009A0E88" w:rsidRDefault="009A0E88" w:rsidP="003406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122" w:rsidRDefault="00844013" w:rsidP="00F9379C">
    <w:pPr>
      <w:pStyle w:val="Header"/>
      <w:spacing w:line="120" w:lineRule="auto"/>
    </w:pPr>
    <w:r>
      <w:rPr>
        <w:rFonts w:cs="B Nazanin"/>
        <w:noProof/>
        <w:sz w:val="20"/>
        <w:rtl/>
        <w:lang w:bidi="fa-IR"/>
      </w:rPr>
      <w:drawing>
        <wp:anchor distT="0" distB="0" distL="114300" distR="114300" simplePos="0" relativeHeight="251664384" behindDoc="1" locked="0" layoutInCell="1" allowOverlap="1" wp14:anchorId="72A74EF7" wp14:editId="178D3FC9">
          <wp:simplePos x="0" y="0"/>
          <wp:positionH relativeFrom="column">
            <wp:posOffset>-116217</wp:posOffset>
          </wp:positionH>
          <wp:positionV relativeFrom="paragraph">
            <wp:posOffset>-365760</wp:posOffset>
          </wp:positionV>
          <wp:extent cx="5832308" cy="933450"/>
          <wp:effectExtent l="0" t="0" r="0" b="0"/>
          <wp:wrapNone/>
          <wp:docPr id="5" name="Picture 5"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32308" cy="9334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13E22"/>
    <w:multiLevelType w:val="hybridMultilevel"/>
    <w:tmpl w:val="A6045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7C2FBB"/>
    <w:multiLevelType w:val="hybridMultilevel"/>
    <w:tmpl w:val="FAF87EAA"/>
    <w:lvl w:ilvl="0" w:tplc="C1E63304">
      <w:start w:val="1"/>
      <w:numFmt w:val="decimal"/>
      <w:pStyle w:val="AffiliationsEnglish"/>
      <w:lvlText w:val="%1-"/>
      <w:lvlJc w:val="left"/>
      <w:pPr>
        <w:ind w:left="720" w:hanging="360"/>
      </w:pPr>
      <w:rPr>
        <w:rFonts w:hint="default"/>
        <w:b w:val="0"/>
        <w:bCs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FF383F"/>
    <w:multiLevelType w:val="hybridMultilevel"/>
    <w:tmpl w:val="0B58B09C"/>
    <w:lvl w:ilvl="0" w:tplc="04090001">
      <w:start w:val="1"/>
      <w:numFmt w:val="bullet"/>
      <w:lvlText w:val=""/>
      <w:lvlJc w:val="left"/>
      <w:pPr>
        <w:ind w:left="800" w:hanging="360"/>
      </w:pPr>
      <w:rPr>
        <w:rFonts w:ascii="Symbol" w:hAnsi="Symbol"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3">
    <w:nsid w:val="283D5BB1"/>
    <w:multiLevelType w:val="hybridMultilevel"/>
    <w:tmpl w:val="BD0AACC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3C84B88"/>
    <w:multiLevelType w:val="hybridMultilevel"/>
    <w:tmpl w:val="E81065F2"/>
    <w:lvl w:ilvl="0" w:tplc="A1DAD8E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1D9E"/>
    <w:rsid w:val="00015FC4"/>
    <w:rsid w:val="00112468"/>
    <w:rsid w:val="00162901"/>
    <w:rsid w:val="00172BE3"/>
    <w:rsid w:val="002E1D72"/>
    <w:rsid w:val="002F313B"/>
    <w:rsid w:val="0034061F"/>
    <w:rsid w:val="003F7EC2"/>
    <w:rsid w:val="00453FE1"/>
    <w:rsid w:val="004B318C"/>
    <w:rsid w:val="00524874"/>
    <w:rsid w:val="005960FA"/>
    <w:rsid w:val="00604793"/>
    <w:rsid w:val="00653A02"/>
    <w:rsid w:val="006A088F"/>
    <w:rsid w:val="006A7B20"/>
    <w:rsid w:val="006E3C9B"/>
    <w:rsid w:val="00791048"/>
    <w:rsid w:val="00844013"/>
    <w:rsid w:val="009030F7"/>
    <w:rsid w:val="0092745B"/>
    <w:rsid w:val="00941844"/>
    <w:rsid w:val="009518A1"/>
    <w:rsid w:val="009A0E88"/>
    <w:rsid w:val="009C0EBD"/>
    <w:rsid w:val="00A41D9E"/>
    <w:rsid w:val="00B12BDF"/>
    <w:rsid w:val="00B17C0E"/>
    <w:rsid w:val="00B26181"/>
    <w:rsid w:val="00B36EB3"/>
    <w:rsid w:val="00B63FC3"/>
    <w:rsid w:val="00BB105F"/>
    <w:rsid w:val="00BD296A"/>
    <w:rsid w:val="00C01B70"/>
    <w:rsid w:val="00E169CD"/>
    <w:rsid w:val="00E21F67"/>
    <w:rsid w:val="00EC0427"/>
    <w:rsid w:val="00EF191F"/>
    <w:rsid w:val="00FD5853"/>
    <w:rsid w:val="00FD60F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7EC2"/>
    <w:pPr>
      <w:widowControl w:val="0"/>
      <w:bidi/>
      <w:spacing w:after="0" w:line="240" w:lineRule="auto"/>
      <w:ind w:firstLine="284"/>
      <w:jc w:val="both"/>
    </w:pPr>
    <w:rPr>
      <w:rFonts w:ascii="Times New Roman" w:eastAsia="Times New Roman" w:hAnsi="Times New Roman" w:cs="B Mitra"/>
      <w:szCs w:val="24"/>
    </w:rPr>
  </w:style>
  <w:style w:type="paragraph" w:styleId="Heading1">
    <w:name w:val="heading 1"/>
    <w:basedOn w:val="Normal"/>
    <w:next w:val="Normal1stParagraph"/>
    <w:link w:val="Heading1Char"/>
    <w:qFormat/>
    <w:rsid w:val="003F7EC2"/>
    <w:pPr>
      <w:widowControl/>
      <w:ind w:firstLine="0"/>
      <w:jc w:val="center"/>
      <w:outlineLvl w:val="0"/>
    </w:pPr>
    <w:rPr>
      <w:rFonts w:cs="Times New Roman"/>
      <w:b/>
      <w:bCs/>
      <w:kern w:val="32"/>
      <w:szCs w:val="26"/>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7EC2"/>
    <w:rPr>
      <w:rFonts w:ascii="Times New Roman" w:eastAsia="Times New Roman" w:hAnsi="Times New Roman" w:cs="Times New Roman"/>
      <w:b/>
      <w:bCs/>
      <w:kern w:val="32"/>
      <w:szCs w:val="26"/>
      <w:lang w:bidi="fa-IR"/>
    </w:rPr>
  </w:style>
  <w:style w:type="paragraph" w:styleId="Header">
    <w:name w:val="header"/>
    <w:basedOn w:val="Normal"/>
    <w:link w:val="HeaderChar"/>
    <w:uiPriority w:val="99"/>
    <w:rsid w:val="003F7EC2"/>
    <w:pPr>
      <w:widowControl/>
      <w:ind w:firstLine="0"/>
    </w:pPr>
    <w:rPr>
      <w:bCs/>
      <w:sz w:val="16"/>
      <w:szCs w:val="20"/>
    </w:rPr>
  </w:style>
  <w:style w:type="character" w:customStyle="1" w:styleId="HeaderChar">
    <w:name w:val="Header Char"/>
    <w:basedOn w:val="DefaultParagraphFont"/>
    <w:link w:val="Header"/>
    <w:uiPriority w:val="99"/>
    <w:rsid w:val="003F7EC2"/>
    <w:rPr>
      <w:rFonts w:ascii="Times New Roman" w:eastAsia="Times New Roman" w:hAnsi="Times New Roman" w:cs="B Mitra"/>
      <w:bCs/>
      <w:sz w:val="16"/>
      <w:szCs w:val="20"/>
    </w:rPr>
  </w:style>
  <w:style w:type="paragraph" w:customStyle="1" w:styleId="Normal1stParagraph">
    <w:name w:val="Normal1stParagraph"/>
    <w:basedOn w:val="Normal"/>
    <w:rsid w:val="003F7EC2"/>
    <w:pPr>
      <w:widowControl/>
    </w:pPr>
    <w:rPr>
      <w:lang w:bidi="fa-IR"/>
    </w:rPr>
  </w:style>
  <w:style w:type="paragraph" w:styleId="Footer">
    <w:name w:val="footer"/>
    <w:basedOn w:val="Normal"/>
    <w:link w:val="FooterChar"/>
    <w:uiPriority w:val="99"/>
    <w:rsid w:val="003F7EC2"/>
    <w:pPr>
      <w:widowControl/>
      <w:tabs>
        <w:tab w:val="center" w:pos="4320"/>
        <w:tab w:val="right" w:pos="8640"/>
      </w:tabs>
    </w:pPr>
    <w:rPr>
      <w:sz w:val="24"/>
      <w:szCs w:val="28"/>
    </w:rPr>
  </w:style>
  <w:style w:type="character" w:customStyle="1" w:styleId="FooterChar">
    <w:name w:val="Footer Char"/>
    <w:basedOn w:val="DefaultParagraphFont"/>
    <w:link w:val="Footer"/>
    <w:uiPriority w:val="99"/>
    <w:rsid w:val="003F7EC2"/>
    <w:rPr>
      <w:rFonts w:ascii="Times New Roman" w:eastAsia="Times New Roman" w:hAnsi="Times New Roman" w:cs="B Mitra"/>
      <w:sz w:val="24"/>
      <w:szCs w:val="28"/>
    </w:rPr>
  </w:style>
  <w:style w:type="paragraph" w:styleId="Subtitle">
    <w:name w:val="Subtitle"/>
    <w:aliases w:val="Asami"/>
    <w:basedOn w:val="Normal"/>
    <w:next w:val="Normal"/>
    <w:link w:val="SubtitleChar"/>
    <w:uiPriority w:val="11"/>
    <w:qFormat/>
    <w:rsid w:val="003F7EC2"/>
    <w:pPr>
      <w:numPr>
        <w:ilvl w:val="1"/>
      </w:numPr>
      <w:ind w:firstLine="284"/>
      <w:jc w:val="center"/>
    </w:pPr>
    <w:rPr>
      <w:rFonts w:ascii="Times New Romans" w:hAnsi="Times New Romans" w:cs="Times New Roman"/>
      <w:b/>
      <w:bCs/>
      <w:color w:val="000000"/>
      <w:spacing w:val="15"/>
      <w:sz w:val="24"/>
      <w:szCs w:val="20"/>
      <w:lang w:bidi="fa-IR"/>
    </w:rPr>
  </w:style>
  <w:style w:type="character" w:customStyle="1" w:styleId="SubtitleChar">
    <w:name w:val="Subtitle Char"/>
    <w:aliases w:val="Asami Char"/>
    <w:basedOn w:val="DefaultParagraphFont"/>
    <w:link w:val="Subtitle"/>
    <w:uiPriority w:val="11"/>
    <w:rsid w:val="003F7EC2"/>
    <w:rPr>
      <w:rFonts w:ascii="Times New Romans" w:eastAsia="Times New Roman" w:hAnsi="Times New Romans" w:cs="Times New Roman"/>
      <w:b/>
      <w:bCs/>
      <w:color w:val="000000"/>
      <w:spacing w:val="15"/>
      <w:sz w:val="24"/>
      <w:szCs w:val="20"/>
      <w:lang w:bidi="fa-IR"/>
    </w:rPr>
  </w:style>
  <w:style w:type="paragraph" w:customStyle="1" w:styleId="Adres-Nevisandeha">
    <w:name w:val="Adres-Nevisandeha"/>
    <w:basedOn w:val="Normal"/>
    <w:link w:val="Adres-NevisandehaChar"/>
    <w:qFormat/>
    <w:rsid w:val="003F7EC2"/>
    <w:pPr>
      <w:ind w:firstLine="0"/>
      <w:jc w:val="center"/>
    </w:pPr>
    <w:rPr>
      <w:rFonts w:ascii="Times New Romans" w:hAnsi="Times New Romans" w:cs="Times New Roman"/>
      <w:sz w:val="20"/>
      <w:szCs w:val="18"/>
      <w:lang w:bidi="fa-IR"/>
    </w:rPr>
  </w:style>
  <w:style w:type="character" w:customStyle="1" w:styleId="Adres-NevisandehaChar">
    <w:name w:val="Adres-Nevisandeha Char"/>
    <w:link w:val="Adres-Nevisandeha"/>
    <w:rsid w:val="003F7EC2"/>
    <w:rPr>
      <w:rFonts w:ascii="Times New Romans" w:eastAsia="Times New Roman" w:hAnsi="Times New Romans" w:cs="Times New Roman"/>
      <w:sz w:val="20"/>
      <w:szCs w:val="18"/>
      <w:lang w:bidi="fa-IR"/>
    </w:rPr>
  </w:style>
  <w:style w:type="paragraph" w:styleId="ListParagraph">
    <w:name w:val="List Paragraph"/>
    <w:basedOn w:val="Normal"/>
    <w:uiPriority w:val="34"/>
    <w:qFormat/>
    <w:rsid w:val="003F7EC2"/>
    <w:pPr>
      <w:widowControl/>
      <w:bidi w:val="0"/>
      <w:spacing w:after="200" w:line="276" w:lineRule="auto"/>
      <w:ind w:left="720" w:firstLine="0"/>
      <w:contextualSpacing/>
      <w:jc w:val="left"/>
    </w:pPr>
    <w:rPr>
      <w:rFonts w:ascii="Calibri" w:eastAsia="Calibri" w:hAnsi="Calibri" w:cs="Arial"/>
      <w:szCs w:val="22"/>
    </w:rPr>
  </w:style>
  <w:style w:type="paragraph" w:customStyle="1" w:styleId="Chekideh">
    <w:name w:val="Chekideh"/>
    <w:basedOn w:val="Normal"/>
    <w:qFormat/>
    <w:rsid w:val="003F7EC2"/>
    <w:rPr>
      <w:rFonts w:cs="B Lotus"/>
      <w:sz w:val="16"/>
      <w:szCs w:val="18"/>
      <w:lang w:bidi="fa-IR"/>
    </w:rPr>
  </w:style>
  <w:style w:type="paragraph" w:customStyle="1" w:styleId="A-text">
    <w:name w:val="A-text"/>
    <w:basedOn w:val="Normal"/>
    <w:rsid w:val="00015FC4"/>
    <w:pPr>
      <w:widowControl/>
      <w:ind w:firstLine="340"/>
    </w:pPr>
    <w:rPr>
      <w:rFonts w:ascii="Arial" w:hAnsi="Arial" w:cs="B Nazanin"/>
      <w:noProof/>
      <w:sz w:val="20"/>
      <w:lang w:bidi="fa-IR"/>
    </w:rPr>
  </w:style>
  <w:style w:type="paragraph" w:customStyle="1" w:styleId="A-ref">
    <w:name w:val="A-ref"/>
    <w:basedOn w:val="A-text"/>
    <w:rsid w:val="00015FC4"/>
    <w:pPr>
      <w:bidi w:val="0"/>
      <w:spacing w:after="120"/>
      <w:ind w:firstLine="0"/>
      <w:jc w:val="left"/>
    </w:pPr>
    <w:rPr>
      <w:sz w:val="18"/>
      <w:szCs w:val="22"/>
    </w:rPr>
  </w:style>
  <w:style w:type="paragraph" w:styleId="BodyText3">
    <w:name w:val="Body Text 3"/>
    <w:basedOn w:val="Normal"/>
    <w:link w:val="BodyText3Char"/>
    <w:rsid w:val="00015FC4"/>
    <w:pPr>
      <w:widowControl/>
      <w:bidi w:val="0"/>
      <w:ind w:firstLine="0"/>
    </w:pPr>
    <w:rPr>
      <w:rFonts w:cs="Times New Roman"/>
      <w:sz w:val="24"/>
    </w:rPr>
  </w:style>
  <w:style w:type="character" w:customStyle="1" w:styleId="BodyText3Char">
    <w:name w:val="Body Text 3 Char"/>
    <w:basedOn w:val="DefaultParagraphFont"/>
    <w:link w:val="BodyText3"/>
    <w:rsid w:val="00015FC4"/>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15FC4"/>
    <w:rPr>
      <w:rFonts w:ascii="Tahoma" w:hAnsi="Tahoma" w:cs="Tahoma"/>
      <w:sz w:val="16"/>
      <w:szCs w:val="16"/>
    </w:rPr>
  </w:style>
  <w:style w:type="character" w:customStyle="1" w:styleId="BalloonTextChar">
    <w:name w:val="Balloon Text Char"/>
    <w:basedOn w:val="DefaultParagraphFont"/>
    <w:link w:val="BalloonText"/>
    <w:uiPriority w:val="99"/>
    <w:semiHidden/>
    <w:rsid w:val="00015FC4"/>
    <w:rPr>
      <w:rFonts w:ascii="Tahoma" w:eastAsia="Times New Roman" w:hAnsi="Tahoma" w:cs="Tahoma"/>
      <w:sz w:val="16"/>
      <w:szCs w:val="16"/>
    </w:rPr>
  </w:style>
  <w:style w:type="paragraph" w:customStyle="1" w:styleId="AuthorsEnglish">
    <w:name w:val="Authors( English)"/>
    <w:basedOn w:val="Normal"/>
    <w:next w:val="Normal"/>
    <w:autoRedefine/>
    <w:rsid w:val="00B63FC3"/>
    <w:pPr>
      <w:widowControl/>
      <w:overflowPunct w:val="0"/>
      <w:autoSpaceDE w:val="0"/>
      <w:autoSpaceDN w:val="0"/>
      <w:bidi w:val="0"/>
      <w:adjustRightInd w:val="0"/>
      <w:ind w:firstLine="0"/>
      <w:jc w:val="center"/>
    </w:pPr>
    <w:rPr>
      <w:rFonts w:cs="B Nazanin"/>
      <w:b/>
      <w:bCs/>
      <w:sz w:val="20"/>
      <w:lang w:bidi="fa-IR"/>
    </w:rPr>
  </w:style>
  <w:style w:type="paragraph" w:customStyle="1" w:styleId="AffiliationsEnglish">
    <w:name w:val="Affiliations(English)"/>
    <w:basedOn w:val="Normal"/>
    <w:autoRedefine/>
    <w:rsid w:val="00BD296A"/>
    <w:pPr>
      <w:framePr w:hSpace="180" w:wrap="around" w:vAnchor="text" w:hAnchor="margin" w:y="474"/>
      <w:widowControl/>
      <w:numPr>
        <w:numId w:val="2"/>
      </w:numPr>
      <w:overflowPunct w:val="0"/>
      <w:autoSpaceDE w:val="0"/>
      <w:autoSpaceDN w:val="0"/>
      <w:bidi w:val="0"/>
      <w:adjustRightInd w:val="0"/>
      <w:jc w:val="center"/>
    </w:pPr>
    <w:rPr>
      <w:rFonts w:cs="Times New Roman"/>
      <w:sz w:val="18"/>
      <w:szCs w:val="22"/>
      <w:lang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7EC2"/>
    <w:pPr>
      <w:widowControl w:val="0"/>
      <w:bidi/>
      <w:spacing w:after="0" w:line="240" w:lineRule="auto"/>
      <w:ind w:firstLine="284"/>
      <w:jc w:val="both"/>
    </w:pPr>
    <w:rPr>
      <w:rFonts w:ascii="Times New Roman" w:eastAsia="Times New Roman" w:hAnsi="Times New Roman" w:cs="B Mitra"/>
      <w:szCs w:val="24"/>
    </w:rPr>
  </w:style>
  <w:style w:type="paragraph" w:styleId="Heading1">
    <w:name w:val="heading 1"/>
    <w:basedOn w:val="Normal"/>
    <w:next w:val="Normal1stParagraph"/>
    <w:link w:val="Heading1Char"/>
    <w:qFormat/>
    <w:rsid w:val="003F7EC2"/>
    <w:pPr>
      <w:widowControl/>
      <w:ind w:firstLine="0"/>
      <w:jc w:val="center"/>
      <w:outlineLvl w:val="0"/>
    </w:pPr>
    <w:rPr>
      <w:rFonts w:cs="Times New Roman"/>
      <w:b/>
      <w:bCs/>
      <w:kern w:val="32"/>
      <w:szCs w:val="26"/>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7EC2"/>
    <w:rPr>
      <w:rFonts w:ascii="Times New Roman" w:eastAsia="Times New Roman" w:hAnsi="Times New Roman" w:cs="Times New Roman"/>
      <w:b/>
      <w:bCs/>
      <w:kern w:val="32"/>
      <w:szCs w:val="26"/>
      <w:lang w:bidi="fa-IR"/>
    </w:rPr>
  </w:style>
  <w:style w:type="paragraph" w:styleId="Header">
    <w:name w:val="header"/>
    <w:basedOn w:val="Normal"/>
    <w:link w:val="HeaderChar"/>
    <w:uiPriority w:val="99"/>
    <w:rsid w:val="003F7EC2"/>
    <w:pPr>
      <w:widowControl/>
      <w:ind w:firstLine="0"/>
    </w:pPr>
    <w:rPr>
      <w:bCs/>
      <w:sz w:val="16"/>
      <w:szCs w:val="20"/>
    </w:rPr>
  </w:style>
  <w:style w:type="character" w:customStyle="1" w:styleId="HeaderChar">
    <w:name w:val="Header Char"/>
    <w:basedOn w:val="DefaultParagraphFont"/>
    <w:link w:val="Header"/>
    <w:uiPriority w:val="99"/>
    <w:rsid w:val="003F7EC2"/>
    <w:rPr>
      <w:rFonts w:ascii="Times New Roman" w:eastAsia="Times New Roman" w:hAnsi="Times New Roman" w:cs="B Mitra"/>
      <w:bCs/>
      <w:sz w:val="16"/>
      <w:szCs w:val="20"/>
    </w:rPr>
  </w:style>
  <w:style w:type="paragraph" w:customStyle="1" w:styleId="Normal1stParagraph">
    <w:name w:val="Normal1stParagraph"/>
    <w:basedOn w:val="Normal"/>
    <w:rsid w:val="003F7EC2"/>
    <w:pPr>
      <w:widowControl/>
    </w:pPr>
    <w:rPr>
      <w:lang w:bidi="fa-IR"/>
    </w:rPr>
  </w:style>
  <w:style w:type="paragraph" w:styleId="Footer">
    <w:name w:val="footer"/>
    <w:basedOn w:val="Normal"/>
    <w:link w:val="FooterChar"/>
    <w:uiPriority w:val="99"/>
    <w:rsid w:val="003F7EC2"/>
    <w:pPr>
      <w:widowControl/>
      <w:tabs>
        <w:tab w:val="center" w:pos="4320"/>
        <w:tab w:val="right" w:pos="8640"/>
      </w:tabs>
    </w:pPr>
    <w:rPr>
      <w:sz w:val="24"/>
      <w:szCs w:val="28"/>
    </w:rPr>
  </w:style>
  <w:style w:type="character" w:customStyle="1" w:styleId="FooterChar">
    <w:name w:val="Footer Char"/>
    <w:basedOn w:val="DefaultParagraphFont"/>
    <w:link w:val="Footer"/>
    <w:uiPriority w:val="99"/>
    <w:rsid w:val="003F7EC2"/>
    <w:rPr>
      <w:rFonts w:ascii="Times New Roman" w:eastAsia="Times New Roman" w:hAnsi="Times New Roman" w:cs="B Mitra"/>
      <w:sz w:val="24"/>
      <w:szCs w:val="28"/>
    </w:rPr>
  </w:style>
  <w:style w:type="paragraph" w:styleId="Subtitle">
    <w:name w:val="Subtitle"/>
    <w:aliases w:val="Asami"/>
    <w:basedOn w:val="Normal"/>
    <w:next w:val="Normal"/>
    <w:link w:val="SubtitleChar"/>
    <w:uiPriority w:val="11"/>
    <w:qFormat/>
    <w:rsid w:val="003F7EC2"/>
    <w:pPr>
      <w:numPr>
        <w:ilvl w:val="1"/>
      </w:numPr>
      <w:ind w:firstLine="284"/>
      <w:jc w:val="center"/>
    </w:pPr>
    <w:rPr>
      <w:rFonts w:ascii="Times New Romans" w:hAnsi="Times New Romans" w:cs="Times New Roman"/>
      <w:b/>
      <w:bCs/>
      <w:color w:val="000000"/>
      <w:spacing w:val="15"/>
      <w:sz w:val="24"/>
      <w:szCs w:val="20"/>
      <w:lang w:bidi="fa-IR"/>
    </w:rPr>
  </w:style>
  <w:style w:type="character" w:customStyle="1" w:styleId="SubtitleChar">
    <w:name w:val="Subtitle Char"/>
    <w:aliases w:val="Asami Char"/>
    <w:basedOn w:val="DefaultParagraphFont"/>
    <w:link w:val="Subtitle"/>
    <w:uiPriority w:val="11"/>
    <w:rsid w:val="003F7EC2"/>
    <w:rPr>
      <w:rFonts w:ascii="Times New Romans" w:eastAsia="Times New Roman" w:hAnsi="Times New Romans" w:cs="Times New Roman"/>
      <w:b/>
      <w:bCs/>
      <w:color w:val="000000"/>
      <w:spacing w:val="15"/>
      <w:sz w:val="24"/>
      <w:szCs w:val="20"/>
      <w:lang w:bidi="fa-IR"/>
    </w:rPr>
  </w:style>
  <w:style w:type="paragraph" w:customStyle="1" w:styleId="Adres-Nevisandeha">
    <w:name w:val="Adres-Nevisandeha"/>
    <w:basedOn w:val="Normal"/>
    <w:link w:val="Adres-NevisandehaChar"/>
    <w:qFormat/>
    <w:rsid w:val="003F7EC2"/>
    <w:pPr>
      <w:ind w:firstLine="0"/>
      <w:jc w:val="center"/>
    </w:pPr>
    <w:rPr>
      <w:rFonts w:ascii="Times New Romans" w:hAnsi="Times New Romans" w:cs="Times New Roman"/>
      <w:sz w:val="20"/>
      <w:szCs w:val="18"/>
      <w:lang w:bidi="fa-IR"/>
    </w:rPr>
  </w:style>
  <w:style w:type="character" w:customStyle="1" w:styleId="Adres-NevisandehaChar">
    <w:name w:val="Adres-Nevisandeha Char"/>
    <w:link w:val="Adres-Nevisandeha"/>
    <w:rsid w:val="003F7EC2"/>
    <w:rPr>
      <w:rFonts w:ascii="Times New Romans" w:eastAsia="Times New Roman" w:hAnsi="Times New Romans" w:cs="Times New Roman"/>
      <w:sz w:val="20"/>
      <w:szCs w:val="18"/>
      <w:lang w:bidi="fa-IR"/>
    </w:rPr>
  </w:style>
  <w:style w:type="paragraph" w:styleId="ListParagraph">
    <w:name w:val="List Paragraph"/>
    <w:basedOn w:val="Normal"/>
    <w:uiPriority w:val="34"/>
    <w:qFormat/>
    <w:rsid w:val="003F7EC2"/>
    <w:pPr>
      <w:widowControl/>
      <w:bidi w:val="0"/>
      <w:spacing w:after="200" w:line="276" w:lineRule="auto"/>
      <w:ind w:left="720" w:firstLine="0"/>
      <w:contextualSpacing/>
      <w:jc w:val="left"/>
    </w:pPr>
    <w:rPr>
      <w:rFonts w:ascii="Calibri" w:eastAsia="Calibri" w:hAnsi="Calibri" w:cs="Arial"/>
      <w:szCs w:val="22"/>
    </w:rPr>
  </w:style>
  <w:style w:type="paragraph" w:customStyle="1" w:styleId="Chekideh">
    <w:name w:val="Chekideh"/>
    <w:basedOn w:val="Normal"/>
    <w:qFormat/>
    <w:rsid w:val="003F7EC2"/>
    <w:rPr>
      <w:rFonts w:cs="B Lotus"/>
      <w:sz w:val="16"/>
      <w:szCs w:val="18"/>
      <w:lang w:bidi="fa-IR"/>
    </w:rPr>
  </w:style>
  <w:style w:type="paragraph" w:customStyle="1" w:styleId="A-text">
    <w:name w:val="A-text"/>
    <w:basedOn w:val="Normal"/>
    <w:rsid w:val="00015FC4"/>
    <w:pPr>
      <w:widowControl/>
      <w:ind w:firstLine="340"/>
    </w:pPr>
    <w:rPr>
      <w:rFonts w:ascii="Arial" w:hAnsi="Arial" w:cs="B Nazanin"/>
      <w:noProof/>
      <w:sz w:val="20"/>
      <w:lang w:bidi="fa-IR"/>
    </w:rPr>
  </w:style>
  <w:style w:type="paragraph" w:customStyle="1" w:styleId="A-ref">
    <w:name w:val="A-ref"/>
    <w:basedOn w:val="A-text"/>
    <w:rsid w:val="00015FC4"/>
    <w:pPr>
      <w:bidi w:val="0"/>
      <w:spacing w:after="120"/>
      <w:ind w:firstLine="0"/>
      <w:jc w:val="left"/>
    </w:pPr>
    <w:rPr>
      <w:sz w:val="18"/>
      <w:szCs w:val="22"/>
    </w:rPr>
  </w:style>
  <w:style w:type="paragraph" w:styleId="BodyText3">
    <w:name w:val="Body Text 3"/>
    <w:basedOn w:val="Normal"/>
    <w:link w:val="BodyText3Char"/>
    <w:rsid w:val="00015FC4"/>
    <w:pPr>
      <w:widowControl/>
      <w:bidi w:val="0"/>
      <w:ind w:firstLine="0"/>
    </w:pPr>
    <w:rPr>
      <w:rFonts w:cs="Times New Roman"/>
      <w:sz w:val="24"/>
    </w:rPr>
  </w:style>
  <w:style w:type="character" w:customStyle="1" w:styleId="BodyText3Char">
    <w:name w:val="Body Text 3 Char"/>
    <w:basedOn w:val="DefaultParagraphFont"/>
    <w:link w:val="BodyText3"/>
    <w:rsid w:val="00015FC4"/>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15FC4"/>
    <w:rPr>
      <w:rFonts w:ascii="Tahoma" w:hAnsi="Tahoma" w:cs="Tahoma"/>
      <w:sz w:val="16"/>
      <w:szCs w:val="16"/>
    </w:rPr>
  </w:style>
  <w:style w:type="character" w:customStyle="1" w:styleId="BalloonTextChar">
    <w:name w:val="Balloon Text Char"/>
    <w:basedOn w:val="DefaultParagraphFont"/>
    <w:link w:val="BalloonText"/>
    <w:uiPriority w:val="99"/>
    <w:semiHidden/>
    <w:rsid w:val="00015FC4"/>
    <w:rPr>
      <w:rFonts w:ascii="Tahoma" w:eastAsia="Times New Roman" w:hAnsi="Tahoma" w:cs="Tahoma"/>
      <w:sz w:val="16"/>
      <w:szCs w:val="16"/>
    </w:rPr>
  </w:style>
  <w:style w:type="paragraph" w:customStyle="1" w:styleId="AuthorsEnglish">
    <w:name w:val="Authors( English)"/>
    <w:basedOn w:val="Normal"/>
    <w:next w:val="Normal"/>
    <w:autoRedefine/>
    <w:rsid w:val="00B63FC3"/>
    <w:pPr>
      <w:widowControl/>
      <w:overflowPunct w:val="0"/>
      <w:autoSpaceDE w:val="0"/>
      <w:autoSpaceDN w:val="0"/>
      <w:bidi w:val="0"/>
      <w:adjustRightInd w:val="0"/>
      <w:ind w:firstLine="0"/>
      <w:jc w:val="center"/>
    </w:pPr>
    <w:rPr>
      <w:rFonts w:cs="B Nazanin"/>
      <w:b/>
      <w:bCs/>
      <w:sz w:val="20"/>
      <w:lang w:bidi="fa-IR"/>
    </w:rPr>
  </w:style>
  <w:style w:type="paragraph" w:customStyle="1" w:styleId="AffiliationsEnglish">
    <w:name w:val="Affiliations(English)"/>
    <w:basedOn w:val="Normal"/>
    <w:autoRedefine/>
    <w:rsid w:val="00BD296A"/>
    <w:pPr>
      <w:framePr w:hSpace="180" w:wrap="around" w:vAnchor="text" w:hAnchor="margin" w:y="474"/>
      <w:widowControl/>
      <w:numPr>
        <w:numId w:val="2"/>
      </w:numPr>
      <w:overflowPunct w:val="0"/>
      <w:autoSpaceDE w:val="0"/>
      <w:autoSpaceDN w:val="0"/>
      <w:bidi w:val="0"/>
      <w:adjustRightInd w:val="0"/>
      <w:jc w:val="center"/>
    </w:pPr>
    <w:rPr>
      <w:rFonts w:cs="Times New Roman"/>
      <w:sz w:val="18"/>
      <w:szCs w:val="22"/>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diagramDrawing" Target="diagrams/drawing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diagramColors" Target="diagrams/colors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QuickStyle" Target="diagrams/quickStyle1.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diagramLayout" Target="diagrams/layout1.xml"/><Relationship Id="rId4" Type="http://schemas.microsoft.com/office/2007/relationships/stylesWithEffects" Target="stylesWithEffects.xml"/><Relationship Id="rId9" Type="http://schemas.openxmlformats.org/officeDocument/2006/relationships/diagramData" Target="diagrams/data1.xml"/><Relationship Id="rId14"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2.tiff"/></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50ACD0A-6913-46FD-9C8C-BE592D5E031D}" type="doc">
      <dgm:prSet loTypeId="urn:microsoft.com/office/officeart/2005/8/layout/venn1" loCatId="relationship" qsTypeId="urn:microsoft.com/office/officeart/2005/8/quickstyle/simple1" qsCatId="simple" csTypeId="urn:microsoft.com/office/officeart/2005/8/colors/colorful5" csCatId="colorful" phldr="1"/>
      <dgm:spPr/>
      <dgm:t>
        <a:bodyPr/>
        <a:lstStyle/>
        <a:p>
          <a:pPr rtl="1"/>
          <a:endParaRPr lang="fa-IR"/>
        </a:p>
      </dgm:t>
    </dgm:pt>
    <dgm:pt modelId="{7B3B1945-B7E0-4921-905E-15FB22A3D844}">
      <dgm:prSet phldrT="[Text]"/>
      <dgm:spPr/>
      <dgm:t>
        <a:bodyPr/>
        <a:lstStyle/>
        <a:p>
          <a:pPr algn="ctr" rtl="1"/>
          <a:r>
            <a:rPr lang="en-US">
              <a:cs typeface="+mj-cs"/>
            </a:rPr>
            <a:t>Social</a:t>
          </a:r>
          <a:endParaRPr lang="fa-IR">
            <a:cs typeface="+mj-cs"/>
          </a:endParaRPr>
        </a:p>
      </dgm:t>
    </dgm:pt>
    <dgm:pt modelId="{37F7BC9A-E352-46B2-A16A-3DDEC6843BE6}" type="parTrans" cxnId="{7DD063CD-92CE-4888-B5F1-3A4EC1E8DB77}">
      <dgm:prSet/>
      <dgm:spPr/>
      <dgm:t>
        <a:bodyPr/>
        <a:lstStyle/>
        <a:p>
          <a:pPr algn="ctr" rtl="1"/>
          <a:endParaRPr lang="fa-IR"/>
        </a:p>
      </dgm:t>
    </dgm:pt>
    <dgm:pt modelId="{0A6003CA-88FF-439D-A25F-1366E8810639}" type="sibTrans" cxnId="{7DD063CD-92CE-4888-B5F1-3A4EC1E8DB77}">
      <dgm:prSet/>
      <dgm:spPr/>
      <dgm:t>
        <a:bodyPr/>
        <a:lstStyle/>
        <a:p>
          <a:pPr algn="ctr" rtl="1"/>
          <a:endParaRPr lang="fa-IR"/>
        </a:p>
      </dgm:t>
    </dgm:pt>
    <dgm:pt modelId="{12D31685-E206-4F98-AF1A-8D75C441B18A}">
      <dgm:prSet phldrT="[Text]"/>
      <dgm:spPr/>
      <dgm:t>
        <a:bodyPr/>
        <a:lstStyle/>
        <a:p>
          <a:pPr algn="ctr" rtl="1"/>
          <a:r>
            <a:rPr lang="en-US"/>
            <a:t>Economic</a:t>
          </a:r>
          <a:endParaRPr lang="fa-IR"/>
        </a:p>
      </dgm:t>
    </dgm:pt>
    <dgm:pt modelId="{1EBA5AD6-B615-443E-87B2-6E31939B3E8B}" type="parTrans" cxnId="{46AABCAF-E2C5-4C47-9004-95D1B4FE7A56}">
      <dgm:prSet/>
      <dgm:spPr/>
      <dgm:t>
        <a:bodyPr/>
        <a:lstStyle/>
        <a:p>
          <a:pPr algn="ctr" rtl="1"/>
          <a:endParaRPr lang="fa-IR"/>
        </a:p>
      </dgm:t>
    </dgm:pt>
    <dgm:pt modelId="{8B51A725-BDF6-46C7-AC4F-886724297182}" type="sibTrans" cxnId="{46AABCAF-E2C5-4C47-9004-95D1B4FE7A56}">
      <dgm:prSet/>
      <dgm:spPr/>
      <dgm:t>
        <a:bodyPr/>
        <a:lstStyle/>
        <a:p>
          <a:pPr algn="ctr" rtl="1"/>
          <a:endParaRPr lang="fa-IR"/>
        </a:p>
      </dgm:t>
    </dgm:pt>
    <dgm:pt modelId="{9FFBA6B5-9472-4782-B16E-14DC62A24E1E}">
      <dgm:prSet/>
      <dgm:spPr/>
      <dgm:t>
        <a:bodyPr/>
        <a:lstStyle/>
        <a:p>
          <a:pPr algn="l" rtl="1"/>
          <a:r>
            <a:rPr lang="en-US"/>
            <a:t>Environmental</a:t>
          </a:r>
          <a:endParaRPr lang="fa-IR"/>
        </a:p>
      </dgm:t>
    </dgm:pt>
    <dgm:pt modelId="{E80C9F21-0922-49A8-8FB0-75D34E3774DC}" type="parTrans" cxnId="{1D3F9E19-E415-4225-9310-0E8CC90237CE}">
      <dgm:prSet/>
      <dgm:spPr/>
      <dgm:t>
        <a:bodyPr/>
        <a:lstStyle/>
        <a:p>
          <a:pPr algn="ctr" rtl="1"/>
          <a:endParaRPr lang="fa-IR"/>
        </a:p>
      </dgm:t>
    </dgm:pt>
    <dgm:pt modelId="{89B2309F-CC4D-4F71-B32B-48EF280EB518}" type="sibTrans" cxnId="{1D3F9E19-E415-4225-9310-0E8CC90237CE}">
      <dgm:prSet/>
      <dgm:spPr/>
      <dgm:t>
        <a:bodyPr/>
        <a:lstStyle/>
        <a:p>
          <a:pPr algn="ctr" rtl="1"/>
          <a:endParaRPr lang="fa-IR"/>
        </a:p>
      </dgm:t>
    </dgm:pt>
    <dgm:pt modelId="{332D1A72-145D-4FEA-A642-0E27E61DFC91}" type="pres">
      <dgm:prSet presAssocID="{750ACD0A-6913-46FD-9C8C-BE592D5E031D}" presName="compositeShape" presStyleCnt="0">
        <dgm:presLayoutVars>
          <dgm:chMax val="7"/>
          <dgm:dir/>
          <dgm:resizeHandles val="exact"/>
        </dgm:presLayoutVars>
      </dgm:prSet>
      <dgm:spPr/>
      <dgm:t>
        <a:bodyPr/>
        <a:lstStyle/>
        <a:p>
          <a:pPr rtl="1"/>
          <a:endParaRPr lang="fa-IR"/>
        </a:p>
      </dgm:t>
    </dgm:pt>
    <dgm:pt modelId="{1A2814FE-1AE0-4649-A74A-A36180D833F6}" type="pres">
      <dgm:prSet presAssocID="{7B3B1945-B7E0-4921-905E-15FB22A3D844}" presName="circ1" presStyleLbl="vennNode1" presStyleIdx="0" presStyleCnt="3" custScaleX="104360" custScaleY="109226"/>
      <dgm:spPr/>
      <dgm:t>
        <a:bodyPr/>
        <a:lstStyle/>
        <a:p>
          <a:pPr rtl="1"/>
          <a:endParaRPr lang="fa-IR"/>
        </a:p>
      </dgm:t>
    </dgm:pt>
    <dgm:pt modelId="{755639CF-1154-40A5-B467-581AEAEF1BB9}" type="pres">
      <dgm:prSet presAssocID="{7B3B1945-B7E0-4921-905E-15FB22A3D844}" presName="circ1Tx" presStyleLbl="revTx" presStyleIdx="0" presStyleCnt="0">
        <dgm:presLayoutVars>
          <dgm:chMax val="0"/>
          <dgm:chPref val="0"/>
          <dgm:bulletEnabled val="1"/>
        </dgm:presLayoutVars>
      </dgm:prSet>
      <dgm:spPr/>
      <dgm:t>
        <a:bodyPr/>
        <a:lstStyle/>
        <a:p>
          <a:pPr rtl="1"/>
          <a:endParaRPr lang="fa-IR"/>
        </a:p>
      </dgm:t>
    </dgm:pt>
    <dgm:pt modelId="{E83FD9FA-1D5B-49F5-BB9D-DF820CF15AD8}" type="pres">
      <dgm:prSet presAssocID="{12D31685-E206-4F98-AF1A-8D75C441B18A}" presName="circ2" presStyleLbl="vennNode1" presStyleIdx="1" presStyleCnt="3" custScaleX="103617" custScaleY="114087"/>
      <dgm:spPr/>
      <dgm:t>
        <a:bodyPr/>
        <a:lstStyle/>
        <a:p>
          <a:pPr rtl="1"/>
          <a:endParaRPr lang="fa-IR"/>
        </a:p>
      </dgm:t>
    </dgm:pt>
    <dgm:pt modelId="{73F1FF44-C39C-4F72-AA85-026FF482BE6C}" type="pres">
      <dgm:prSet presAssocID="{12D31685-E206-4F98-AF1A-8D75C441B18A}" presName="circ2Tx" presStyleLbl="revTx" presStyleIdx="0" presStyleCnt="0">
        <dgm:presLayoutVars>
          <dgm:chMax val="0"/>
          <dgm:chPref val="0"/>
          <dgm:bulletEnabled val="1"/>
        </dgm:presLayoutVars>
      </dgm:prSet>
      <dgm:spPr/>
      <dgm:t>
        <a:bodyPr/>
        <a:lstStyle/>
        <a:p>
          <a:pPr rtl="1"/>
          <a:endParaRPr lang="fa-IR"/>
        </a:p>
      </dgm:t>
    </dgm:pt>
    <dgm:pt modelId="{73DD6C2A-A365-4484-A0AB-38D49B2C8CFC}" type="pres">
      <dgm:prSet presAssocID="{9FFBA6B5-9472-4782-B16E-14DC62A24E1E}" presName="circ3" presStyleLbl="vennNode1" presStyleIdx="2" presStyleCnt="3" custScaleX="104004" custScaleY="106696"/>
      <dgm:spPr/>
      <dgm:t>
        <a:bodyPr/>
        <a:lstStyle/>
        <a:p>
          <a:pPr rtl="1"/>
          <a:endParaRPr lang="fa-IR"/>
        </a:p>
      </dgm:t>
    </dgm:pt>
    <dgm:pt modelId="{64FB66B9-BF5D-47A6-B1EC-42EBEE8DC83E}" type="pres">
      <dgm:prSet presAssocID="{9FFBA6B5-9472-4782-B16E-14DC62A24E1E}" presName="circ3Tx" presStyleLbl="revTx" presStyleIdx="0" presStyleCnt="0">
        <dgm:presLayoutVars>
          <dgm:chMax val="0"/>
          <dgm:chPref val="0"/>
          <dgm:bulletEnabled val="1"/>
        </dgm:presLayoutVars>
      </dgm:prSet>
      <dgm:spPr/>
      <dgm:t>
        <a:bodyPr/>
        <a:lstStyle/>
        <a:p>
          <a:pPr rtl="1"/>
          <a:endParaRPr lang="fa-IR"/>
        </a:p>
      </dgm:t>
    </dgm:pt>
  </dgm:ptLst>
  <dgm:cxnLst>
    <dgm:cxn modelId="{025E4737-4283-4A42-9EBC-30156D49086A}" type="presOf" srcId="{12D31685-E206-4F98-AF1A-8D75C441B18A}" destId="{73F1FF44-C39C-4F72-AA85-026FF482BE6C}" srcOrd="1" destOrd="0" presId="urn:microsoft.com/office/officeart/2005/8/layout/venn1"/>
    <dgm:cxn modelId="{A2BA7B07-7F74-43E1-8C2B-745B2012BB4A}" type="presOf" srcId="{750ACD0A-6913-46FD-9C8C-BE592D5E031D}" destId="{332D1A72-145D-4FEA-A642-0E27E61DFC91}" srcOrd="0" destOrd="0" presId="urn:microsoft.com/office/officeart/2005/8/layout/venn1"/>
    <dgm:cxn modelId="{18FF85C4-70E8-4F89-ABF2-DD2215E59FA8}" type="presOf" srcId="{12D31685-E206-4F98-AF1A-8D75C441B18A}" destId="{E83FD9FA-1D5B-49F5-BB9D-DF820CF15AD8}" srcOrd="0" destOrd="0" presId="urn:microsoft.com/office/officeart/2005/8/layout/venn1"/>
    <dgm:cxn modelId="{A73A0CEB-BFC2-487B-A6DA-4DB39B594997}" type="presOf" srcId="{7B3B1945-B7E0-4921-905E-15FB22A3D844}" destId="{755639CF-1154-40A5-B467-581AEAEF1BB9}" srcOrd="1" destOrd="0" presId="urn:microsoft.com/office/officeart/2005/8/layout/venn1"/>
    <dgm:cxn modelId="{03A3C5A3-C51A-4466-B84F-71B6E436EBAE}" type="presOf" srcId="{9FFBA6B5-9472-4782-B16E-14DC62A24E1E}" destId="{73DD6C2A-A365-4484-A0AB-38D49B2C8CFC}" srcOrd="0" destOrd="0" presId="urn:microsoft.com/office/officeart/2005/8/layout/venn1"/>
    <dgm:cxn modelId="{46AABCAF-E2C5-4C47-9004-95D1B4FE7A56}" srcId="{750ACD0A-6913-46FD-9C8C-BE592D5E031D}" destId="{12D31685-E206-4F98-AF1A-8D75C441B18A}" srcOrd="1" destOrd="0" parTransId="{1EBA5AD6-B615-443E-87B2-6E31939B3E8B}" sibTransId="{8B51A725-BDF6-46C7-AC4F-886724297182}"/>
    <dgm:cxn modelId="{520F8E82-B9EA-4C63-B28B-E5970B35D8DA}" type="presOf" srcId="{7B3B1945-B7E0-4921-905E-15FB22A3D844}" destId="{1A2814FE-1AE0-4649-A74A-A36180D833F6}" srcOrd="0" destOrd="0" presId="urn:microsoft.com/office/officeart/2005/8/layout/venn1"/>
    <dgm:cxn modelId="{7DD063CD-92CE-4888-B5F1-3A4EC1E8DB77}" srcId="{750ACD0A-6913-46FD-9C8C-BE592D5E031D}" destId="{7B3B1945-B7E0-4921-905E-15FB22A3D844}" srcOrd="0" destOrd="0" parTransId="{37F7BC9A-E352-46B2-A16A-3DDEC6843BE6}" sibTransId="{0A6003CA-88FF-439D-A25F-1366E8810639}"/>
    <dgm:cxn modelId="{5D3C2FCF-F841-4998-AD5D-5032624AACD1}" type="presOf" srcId="{9FFBA6B5-9472-4782-B16E-14DC62A24E1E}" destId="{64FB66B9-BF5D-47A6-B1EC-42EBEE8DC83E}" srcOrd="1" destOrd="0" presId="urn:microsoft.com/office/officeart/2005/8/layout/venn1"/>
    <dgm:cxn modelId="{1D3F9E19-E415-4225-9310-0E8CC90237CE}" srcId="{750ACD0A-6913-46FD-9C8C-BE592D5E031D}" destId="{9FFBA6B5-9472-4782-B16E-14DC62A24E1E}" srcOrd="2" destOrd="0" parTransId="{E80C9F21-0922-49A8-8FB0-75D34E3774DC}" sibTransId="{89B2309F-CC4D-4F71-B32B-48EF280EB518}"/>
    <dgm:cxn modelId="{758093DC-3824-4CC7-B298-5BB0D6171C38}" type="presParOf" srcId="{332D1A72-145D-4FEA-A642-0E27E61DFC91}" destId="{1A2814FE-1AE0-4649-A74A-A36180D833F6}" srcOrd="0" destOrd="0" presId="urn:microsoft.com/office/officeart/2005/8/layout/venn1"/>
    <dgm:cxn modelId="{8F08615C-90C9-48D2-B8B8-0D233FB720BF}" type="presParOf" srcId="{332D1A72-145D-4FEA-A642-0E27E61DFC91}" destId="{755639CF-1154-40A5-B467-581AEAEF1BB9}" srcOrd="1" destOrd="0" presId="urn:microsoft.com/office/officeart/2005/8/layout/venn1"/>
    <dgm:cxn modelId="{E9472A96-8BF7-4EB2-B9D1-53FB06707631}" type="presParOf" srcId="{332D1A72-145D-4FEA-A642-0E27E61DFC91}" destId="{E83FD9FA-1D5B-49F5-BB9D-DF820CF15AD8}" srcOrd="2" destOrd="0" presId="urn:microsoft.com/office/officeart/2005/8/layout/venn1"/>
    <dgm:cxn modelId="{8ABFED06-E9B0-48BC-886E-73D8E41BE731}" type="presParOf" srcId="{332D1A72-145D-4FEA-A642-0E27E61DFC91}" destId="{73F1FF44-C39C-4F72-AA85-026FF482BE6C}" srcOrd="3" destOrd="0" presId="urn:microsoft.com/office/officeart/2005/8/layout/venn1"/>
    <dgm:cxn modelId="{4CC1BAC4-2EBB-4719-8D2C-DA1BBF05092F}" type="presParOf" srcId="{332D1A72-145D-4FEA-A642-0E27E61DFC91}" destId="{73DD6C2A-A365-4484-A0AB-38D49B2C8CFC}" srcOrd="4" destOrd="0" presId="urn:microsoft.com/office/officeart/2005/8/layout/venn1"/>
    <dgm:cxn modelId="{4AF90F8A-D63A-40A2-B61E-C91741A7C02D}" type="presParOf" srcId="{332D1A72-145D-4FEA-A642-0E27E61DFC91}" destId="{64FB66B9-BF5D-47A6-B1EC-42EBEE8DC83E}" srcOrd="5" destOrd="0" presId="urn:microsoft.com/office/officeart/2005/8/layout/venn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A2814FE-1AE0-4649-A74A-A36180D833F6}">
      <dsp:nvSpPr>
        <dsp:cNvPr id="0" name=""/>
        <dsp:cNvSpPr/>
      </dsp:nvSpPr>
      <dsp:spPr>
        <a:xfrm>
          <a:off x="1743076" y="-71911"/>
          <a:ext cx="2003962" cy="2097401"/>
        </a:xfrm>
        <a:prstGeom prst="ellipse">
          <a:avLst/>
        </a:prstGeom>
        <a:solidFill>
          <a:schemeClr val="accent5">
            <a:alpha val="50000"/>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lvl="0" algn="ctr" defTabSz="666750" rtl="1">
            <a:lnSpc>
              <a:spcPct val="90000"/>
            </a:lnSpc>
            <a:spcBef>
              <a:spcPct val="0"/>
            </a:spcBef>
            <a:spcAft>
              <a:spcPct val="35000"/>
            </a:spcAft>
          </a:pPr>
          <a:r>
            <a:rPr lang="en-US" sz="1500" kern="1200">
              <a:cs typeface="+mj-cs"/>
            </a:rPr>
            <a:t>Social</a:t>
          </a:r>
          <a:endParaRPr lang="fa-IR" sz="1500" kern="1200">
            <a:cs typeface="+mj-cs"/>
          </a:endParaRPr>
        </a:p>
      </dsp:txBody>
      <dsp:txXfrm>
        <a:off x="2010271" y="295133"/>
        <a:ext cx="1469572" cy="943830"/>
      </dsp:txXfrm>
    </dsp:sp>
    <dsp:sp modelId="{E83FD9FA-1D5B-49F5-BB9D-DF820CF15AD8}">
      <dsp:nvSpPr>
        <dsp:cNvPr id="0" name=""/>
        <dsp:cNvSpPr/>
      </dsp:nvSpPr>
      <dsp:spPr>
        <a:xfrm>
          <a:off x="2443096" y="1081567"/>
          <a:ext cx="1989695" cy="2190744"/>
        </a:xfrm>
        <a:prstGeom prst="ellipse">
          <a:avLst/>
        </a:prstGeom>
        <a:solidFill>
          <a:schemeClr val="accent5">
            <a:alpha val="50000"/>
            <a:hueOff val="-3676672"/>
            <a:satOff val="-5114"/>
            <a:lumOff val="-1961"/>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lvl="0" algn="ctr" defTabSz="666750" rtl="1">
            <a:lnSpc>
              <a:spcPct val="90000"/>
            </a:lnSpc>
            <a:spcBef>
              <a:spcPct val="0"/>
            </a:spcBef>
            <a:spcAft>
              <a:spcPct val="35000"/>
            </a:spcAft>
          </a:pPr>
          <a:r>
            <a:rPr lang="en-US" sz="1500" kern="1200"/>
            <a:t>Economic</a:t>
          </a:r>
          <a:endParaRPr lang="fa-IR" sz="1500" kern="1200"/>
        </a:p>
      </dsp:txBody>
      <dsp:txXfrm>
        <a:off x="3051611" y="1647509"/>
        <a:ext cx="1193817" cy="1204909"/>
      </dsp:txXfrm>
    </dsp:sp>
    <dsp:sp modelId="{73DD6C2A-A365-4484-A0AB-38D49B2C8CFC}">
      <dsp:nvSpPr>
        <dsp:cNvPr id="0" name=""/>
        <dsp:cNvSpPr/>
      </dsp:nvSpPr>
      <dsp:spPr>
        <a:xfrm>
          <a:off x="1053608" y="1152529"/>
          <a:ext cx="1997126" cy="2048819"/>
        </a:xfrm>
        <a:prstGeom prst="ellipse">
          <a:avLst/>
        </a:prstGeom>
        <a:solidFill>
          <a:schemeClr val="accent5">
            <a:alpha val="50000"/>
            <a:hueOff val="-7353344"/>
            <a:satOff val="-10228"/>
            <a:lumOff val="-3922"/>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lvl="0" algn="l" defTabSz="666750" rtl="1">
            <a:lnSpc>
              <a:spcPct val="90000"/>
            </a:lnSpc>
            <a:spcBef>
              <a:spcPct val="0"/>
            </a:spcBef>
            <a:spcAft>
              <a:spcPct val="35000"/>
            </a:spcAft>
          </a:pPr>
          <a:r>
            <a:rPr lang="en-US" sz="1500" kern="1200"/>
            <a:t>Environmental</a:t>
          </a:r>
          <a:endParaRPr lang="fa-IR" sz="1500" kern="1200"/>
        </a:p>
      </dsp:txBody>
      <dsp:txXfrm>
        <a:off x="1241670" y="1681807"/>
        <a:ext cx="1198275" cy="1126850"/>
      </dsp:txXfrm>
    </dsp:sp>
  </dsp:spTree>
</dsp:drawing>
</file>

<file path=word/diagrams/layout1.xml><?xml version="1.0" encoding="utf-8"?>
<dgm:layoutDef xmlns:dgm="http://schemas.openxmlformats.org/drawingml/2006/diagram" xmlns:a="http://schemas.openxmlformats.org/drawingml/2006/main" uniqueId="urn:microsoft.com/office/officeart/2005/8/layout/venn1">
  <dgm:title val=""/>
  <dgm:desc val=""/>
  <dgm:catLst>
    <dgm:cat type="relationship" pri="28000"/>
    <dgm:cat type="convert" pri="19000"/>
  </dgm:catLst>
  <dgm:sampData useDef="1">
    <dgm:dataModel>
      <dgm:ptLst/>
      <dgm:bg/>
      <dgm:whole/>
    </dgm:dataModel>
  </dgm:sampData>
  <dgm:styleData useDef="1">
    <dgm:dataModel>
      <dgm:ptLst/>
      <dgm:bg/>
      <dgm:whole/>
    </dgm:dataModel>
  </dgm:styleData>
  <dgm:clrData>
    <dgm:dataModel>
      <dgm:ptLst>
        <dgm:pt modelId="0" type="doc"/>
        <dgm:pt modelId="1"/>
        <dgm:pt modelId="2"/>
        <dgm:pt modelId="3"/>
        <dgm:pt modelId="4"/>
      </dgm:ptLst>
      <dgm:cxnLst>
        <dgm:cxn modelId="7" srcId="0" destId="1" srcOrd="0" destOrd="0"/>
        <dgm:cxn modelId="8" srcId="0" destId="2" srcOrd="1" destOrd="0"/>
        <dgm:cxn modelId="9" srcId="0" destId="3" srcOrd="2" destOrd="0"/>
        <dgm:cxn modelId="10" srcId="0" destId="4" srcOrd="3" destOrd="0"/>
      </dgm:cxnLst>
      <dgm:bg/>
      <dgm:whole/>
    </dgm:dataModel>
  </dgm:clrData>
  <dgm:layoutNode name="compositeShape">
    <dgm:varLst>
      <dgm:chMax val="7"/>
      <dgm:dir/>
      <dgm:resizeHandles val="exact"/>
    </dgm:varLst>
    <dgm:choose name="Name0">
      <dgm:if name="Name1" axis="ch" ptType="node" func="cnt" op="equ" val="1">
        <dgm:alg type="composite">
          <dgm:param type="ar" val="1"/>
        </dgm:alg>
      </dgm:if>
      <dgm:if name="Name2" axis="ch" ptType="node" func="cnt" op="equ" val="2">
        <dgm:alg type="composite">
          <dgm:param type="ar" val="1.792"/>
        </dgm:alg>
      </dgm:if>
      <dgm:if name="Name3" axis="ch" ptType="node" func="cnt" op="equ" val="3">
        <dgm:alg type="composite">
          <dgm:param type="ar" val="1"/>
        </dgm:alg>
      </dgm:if>
      <dgm:if name="Name4" axis="ch" ptType="node" func="cnt" op="equ" val="4">
        <dgm:alg type="composite">
          <dgm:param type="ar" val="1"/>
        </dgm:alg>
      </dgm:if>
      <dgm:if name="Name5" axis="ch" ptType="node" func="cnt" op="equ" val="5">
        <dgm:alg type="composite">
          <dgm:param type="ar" val="1.4"/>
        </dgm:alg>
      </dgm:if>
      <dgm:if name="Name6" axis="ch" ptType="node" func="cnt" op="equ" val="6">
        <dgm:alg type="composite">
          <dgm:param type="ar" val="1.285"/>
        </dgm:alg>
      </dgm:if>
      <dgm:if name="Name7" axis="ch" ptType="node" func="cnt" op="equ" val="7">
        <dgm:alg type="composite">
          <dgm:param type="ar" val="1.359"/>
        </dgm:alg>
      </dgm:if>
      <dgm:else name="Name8">
        <dgm:alg type="composite">
          <dgm:param type="ar" val="1.359"/>
        </dgm:alg>
      </dgm:else>
    </dgm:choose>
    <dgm:shape xmlns:r="http://schemas.openxmlformats.org/officeDocument/2006/relationships" r:blip="">
      <dgm:adjLst/>
    </dgm:shape>
    <dgm:presOf/>
    <dgm:choose name="Name9">
      <dgm:if name="Name10" axis="ch" ptType="node" func="cnt" op="equ" val="1">
        <dgm:constrLst>
          <dgm:constr type="ctrX" for="ch" forName="circ1TxSh" refType="w" fact="0.5"/>
          <dgm:constr type="ctrY" for="ch" forName="circ1TxSh" refType="h" fact="0.5"/>
          <dgm:constr type="w" for="ch" forName="circ1TxSh" refType="w"/>
          <dgm:constr type="h" for="ch" forName="circ1TxSh" refType="h"/>
          <dgm:constr type="primFontSz" for="ch" ptType="node" op="equ"/>
        </dgm:constrLst>
      </dgm:if>
      <dgm:if name="Name11" axis="ch" ptType="node" func="cnt" op="equ" val="2">
        <dgm:constrLst>
          <dgm:constr type="ctrX" for="ch" forName="circ1" refType="w" fact="0.3"/>
          <dgm:constr type="ctrY" for="ch" forName="circ1" refType="h" fact="0.5"/>
          <dgm:constr type="w" for="ch" forName="circ1" refType="w" fact="0.555"/>
          <dgm:constr type="h" for="ch" forName="circ1" refType="h" fact="0.99456"/>
          <dgm:constr type="l" for="ch" forName="circ1Tx" refType="w" fact="0.1"/>
          <dgm:constr type="t" for="ch" forName="circ1Tx" refType="h" fact="0.12"/>
          <dgm:constr type="w" for="ch" forName="circ1Tx" refType="w" fact="0.32"/>
          <dgm:constr type="h" for="ch" forName="circ1Tx" refType="h" fact="0.76"/>
          <dgm:constr type="ctrX" for="ch" forName="circ2" refType="w" fact="0.7"/>
          <dgm:constr type="ctrY" for="ch" forName="circ2" refType="h" fact="0.5"/>
          <dgm:constr type="w" for="ch" forName="circ2" refType="w" fact="0.555"/>
          <dgm:constr type="h" for="ch" forName="circ2" refType="h" fact="0.99456"/>
          <dgm:constr type="l" for="ch" forName="circ2Tx" refType="w" fact="0.58"/>
          <dgm:constr type="t" for="ch" forName="circ2Tx" refType="h" fact="0.12"/>
          <dgm:constr type="w" for="ch" forName="circ2Tx" refType="w" fact="0.32"/>
          <dgm:constr type="h" for="ch" forName="circ2Tx" refType="h" fact="0.76"/>
          <dgm:constr type="primFontSz" for="ch" ptType="node" op="equ"/>
        </dgm:constrLst>
      </dgm:if>
      <dgm:if name="Name12" axis="ch" ptType="node" func="cnt" op="equ" val="3">
        <dgm:constrLst>
          <dgm:constr type="ctrX" for="ch" forName="circ1" refType="w" fact="0.5"/>
          <dgm:constr type="ctrY" for="ch" forName="circ1" refType="w" fact="0.25"/>
          <dgm:constr type="w" for="ch" forName="circ1" refType="w" fact="0.6"/>
          <dgm:constr type="h" for="ch" forName="circ1" refType="h" fact="0.6"/>
          <dgm:constr type="l" for="ch" forName="circ1Tx" refType="w" fact="0.28"/>
          <dgm:constr type="t" for="ch" forName="circ1Tx" refType="h" fact="0.055"/>
          <dgm:constr type="w" for="ch" forName="circ1Tx" refType="w" fact="0.44"/>
          <dgm:constr type="h" for="ch" forName="circ1Tx" refType="h" fact="0.27"/>
          <dgm:constr type="ctrX" for="ch" forName="circ2" refType="w" fact="0.7165"/>
          <dgm:constr type="ctrY" for="ch" forName="circ2" refType="w" fact="0.625"/>
          <dgm:constr type="w" for="ch" forName="circ2" refType="w" fact="0.6"/>
          <dgm:constr type="h" for="ch" forName="circ2" refType="h" fact="0.6"/>
          <dgm:constr type="l" for="ch" forName="circ2Tx" refType="w" fact="0.6"/>
          <dgm:constr type="t" for="ch" forName="circ2Tx" refType="h" fact="0.48"/>
          <dgm:constr type="w" for="ch" forName="circ2Tx" refType="w" fact="0.36"/>
          <dgm:constr type="h" for="ch" forName="circ2Tx" refType="h" fact="0.33"/>
          <dgm:constr type="ctrX" for="ch" forName="circ3" refType="w" fact="0.2835"/>
          <dgm:constr type="ctrY" for="ch" forName="circ3" refType="w" fact="0.625"/>
          <dgm:constr type="w" for="ch" forName="circ3" refType="w" fact="0.6"/>
          <dgm:constr type="h" for="ch" forName="circ3" refType="h" fact="0.6"/>
          <dgm:constr type="l" for="ch" forName="circ3Tx" refType="w" fact="0.04"/>
          <dgm:constr type="t" for="ch" forName="circ3Tx" refType="h" fact="0.48"/>
          <dgm:constr type="w" for="ch" forName="circ3Tx" refType="w" fact="0.36"/>
          <dgm:constr type="h" for="ch" forName="circ3Tx" refType="h" fact="0.33"/>
          <dgm:constr type="primFontSz" for="ch" ptType="node" op="equ"/>
        </dgm:constrLst>
      </dgm:if>
      <dgm:if name="Name13" axis="ch" ptType="node" func="cnt" op="equ" val="4">
        <dgm:constrLst>
          <dgm:constr type="ctrX" for="ch" forName="circ1" refType="w" fact="0.5"/>
          <dgm:constr type="ctrY" for="ch" forName="circ1" refType="w" fact="0.27"/>
          <dgm:constr type="w" for="ch" forName="circ1" refType="w" fact="0.52"/>
          <dgm:constr type="h" for="ch" forName="circ1" refType="h" fact="0.52"/>
          <dgm:constr type="l" for="ch" forName="circ1Tx" refType="w" fact="0.3"/>
          <dgm:constr type="t" for="ch" forName="circ1Tx" refType="h" fact="0.08"/>
          <dgm:constr type="w" for="ch" forName="circ1Tx" refType="w" fact="0.4"/>
          <dgm:constr type="h" for="ch" forName="circ1Tx" refType="h" fact="0.165"/>
          <dgm:constr type="ctrX" for="ch" forName="circ2" refType="w" fact="0.73"/>
          <dgm:constr type="ctrY" for="ch" forName="circ2" refType="w" fact="0.5"/>
          <dgm:constr type="w" for="ch" forName="circ2" refType="w" fact="0.52"/>
          <dgm:constr type="h" for="ch" forName="circ2" refType="h" fact="0.52"/>
          <dgm:constr type="r" for="ch" forName="circ2Tx" refType="w" fact="0.95"/>
          <dgm:constr type="t" for="ch" forName="circ2Tx" refType="h" fact="0.3"/>
          <dgm:constr type="w" for="ch" forName="circ2Tx" refType="w" fact="0.2"/>
          <dgm:constr type="h" for="ch" forName="circ2Tx" refType="h" fact="0.4"/>
          <dgm:constr type="ctrX" for="ch" forName="circ3" refType="w" fact="0.5"/>
          <dgm:constr type="ctrY" for="ch" forName="circ3" refType="w" fact="0.73"/>
          <dgm:constr type="w" for="ch" forName="circ3" refType="w" fact="0.52"/>
          <dgm:constr type="h" for="ch" forName="circ3" refType="h" fact="0.52"/>
          <dgm:constr type="l" for="ch" forName="circ3Tx" refType="w" fact="0.3"/>
          <dgm:constr type="b" for="ch" forName="circ3Tx" refType="h" fact="0.92"/>
          <dgm:constr type="w" for="ch" forName="circ3Tx" refType="w" fact="0.4"/>
          <dgm:constr type="h" for="ch" forName="circ3Tx" refType="h" fact="0.165"/>
          <dgm:constr type="ctrX" for="ch" forName="circ4" refType="w" fact="0.27"/>
          <dgm:constr type="ctrY" for="ch" forName="circ4" refType="h" fact="0.5"/>
          <dgm:constr type="w" for="ch" forName="circ4" refType="w" fact="0.52"/>
          <dgm:constr type="h" for="ch" forName="circ4" refType="h" fact="0.52"/>
          <dgm:constr type="l" for="ch" forName="circ4Tx" refType="w" fact="0.05"/>
          <dgm:constr type="t" for="ch" forName="circ4Tx" refType="h" fact="0.3"/>
          <dgm:constr type="w" for="ch" forName="circ4Tx" refType="w" fact="0.2"/>
          <dgm:constr type="h" for="ch" forName="circ4Tx" refType="h" fact="0.4"/>
          <dgm:constr type="primFontSz" for="ch" ptType="node" op="equ"/>
        </dgm:constrLst>
      </dgm:if>
      <dgm:if name="Name14" axis="ch" ptType="node" func="cnt" op="equ" val="5">
        <dgm:constrLst>
          <dgm:constr type="ctrX" for="ch" forName="circ1" refType="w" fact="0.5"/>
          <dgm:constr type="ctrY" for="ch" forName="circ1" refType="h" fact="0.46"/>
          <dgm:constr type="w" for="ch" forName="circ1" refType="w" fact="0.25"/>
          <dgm:constr type="h" for="ch" forName="circ1" refType="h" fact="0.35"/>
          <dgm:constr type="l" for="ch" forName="circ1Tx" refType="w" fact="0.355"/>
          <dgm:constr type="t" for="ch" forName="circ1Tx"/>
          <dgm:constr type="w" for="ch" forName="circ1Tx" refType="w" fact="0.29"/>
          <dgm:constr type="h" for="ch" forName="circ1Tx" refType="h" fact="0.235"/>
          <dgm:constr type="ctrX" for="ch" forName="circ2" refType="w" fact="0.5951"/>
          <dgm:constr type="ctrY" for="ch" forName="circ2" refType="h" fact="0.5567"/>
          <dgm:constr type="w" for="ch" forName="circ2" refType="w" fact="0.25"/>
          <dgm:constr type="h" for="ch" forName="circ2" refType="h" fact="0.35"/>
          <dgm:constr type="l" for="ch" forName="circ2Tx" refType="w" fact="0.74"/>
          <dgm:constr type="t" for="ch" forName="circ2Tx" refType="h" fact="0.31"/>
          <dgm:constr type="w" for="ch" forName="circ2Tx" refType="w" fact="0.26"/>
          <dgm:constr type="h" for="ch" forName="circ2Tx" refType="h" fact="0.255"/>
          <dgm:constr type="ctrX" for="ch" forName="circ3" refType="w" fact="0.5588"/>
          <dgm:constr type="ctrY" for="ch" forName="circ3" refType="h" fact="0.7133"/>
          <dgm:constr type="w" for="ch" forName="circ3" refType="w" fact="0.25"/>
          <dgm:constr type="h" for="ch" forName="circ3" refType="h" fact="0.35"/>
          <dgm:constr type="l" for="ch" forName="circ3Tx" refType="w" fact="0.7"/>
          <dgm:constr type="t" for="ch" forName="circ3Tx" refType="h" fact="0.745"/>
          <dgm:constr type="w" for="ch" forName="circ3Tx" refType="w" fact="0.26"/>
          <dgm:constr type="h" for="ch" forName="circ3Tx" refType="h" fact="0.255"/>
          <dgm:constr type="ctrX" for="ch" forName="circ4" refType="w" fact="0.4412"/>
          <dgm:constr type="ctrY" for="ch" forName="circ4" refType="h" fact="0.7133"/>
          <dgm:constr type="w" for="ch" forName="circ4" refType="w" fact="0.25"/>
          <dgm:constr type="h" for="ch" forName="circ4" refType="h" fact="0.35"/>
          <dgm:constr type="l" for="ch" forName="circ4Tx" refType="w" fact="0.04"/>
          <dgm:constr type="t" for="ch" forName="circ4Tx" refType="h" fact="0.745"/>
          <dgm:constr type="w" for="ch" forName="circ4Tx" refType="w" fact="0.26"/>
          <dgm:constr type="h" for="ch" forName="circ4Tx" refType="h" fact="0.255"/>
          <dgm:constr type="ctrX" for="ch" forName="circ5" refType="w" fact="0.4049"/>
          <dgm:constr type="ctrY" for="ch" forName="circ5" refType="h" fact="0.5567"/>
          <dgm:constr type="w" for="ch" forName="circ5" refType="w" fact="0.25"/>
          <dgm:constr type="h" for="ch" forName="circ5" refType="h" fact="0.35"/>
          <dgm:constr type="l" for="ch" forName="circ5Tx"/>
          <dgm:constr type="t" for="ch" forName="circ5Tx" refType="h" fact="0.31"/>
          <dgm:constr type="w" for="ch" forName="circ5Tx" refType="w" fact="0.26"/>
          <dgm:constr type="h" for="ch" forName="circ5Tx" refType="h" fact="0.255"/>
          <dgm:constr type="primFontSz" for="ch" ptType="node" op="equ"/>
        </dgm:constrLst>
      </dgm:if>
      <dgm:if name="Name15" axis="ch" ptType="node" func="cnt" op="equ" val="6">
        <dgm:constrLst>
          <dgm:constr type="ctrX" for="ch" forName="circ1" refType="w" fact="0.5"/>
          <dgm:constr type="ctrY" for="ch" forName="circ1" refType="h" fact="0.3844"/>
          <dgm:constr type="w" for="ch" forName="circ1" refType="w" fact="0.24"/>
          <dgm:constr type="h" for="ch" forName="circ1" refType="h" fact="0.3084"/>
          <dgm:constr type="l" for="ch" forName="circ1Tx" refType="w" fact="0.35"/>
          <dgm:constr type="t" for="ch" forName="circ1Tx"/>
          <dgm:constr type="w" for="ch" forName="circ1Tx" refType="w" fact="0.3"/>
          <dgm:constr type="h" for="ch" forName="circ1Tx" refType="h" fact="0.21"/>
          <dgm:constr type="ctrX" for="ch" forName="circ2" refType="w" fact="0.5779"/>
          <dgm:constr type="ctrY" for="ch" forName="circ2" refType="h" fact="0.4422"/>
          <dgm:constr type="w" for="ch" forName="circ2" refType="w" fact="0.24"/>
          <dgm:constr type="h" for="ch" forName="circ2" refType="h" fact="0.3084"/>
          <dgm:constr type="l" for="ch" forName="circ2Tx" refType="w" fact="0.7157"/>
          <dgm:constr type="t" for="ch" forName="circ2Tx" refType="h" fact="0.2"/>
          <dgm:constr type="w" for="ch" forName="circ2Tx" refType="w" fact="0.2843"/>
          <dgm:constr type="h" for="ch" forName="circ2Tx" refType="h" fact="0.23"/>
          <dgm:constr type="ctrX" for="ch" forName="circ3" refType="w" fact="0.5779"/>
          <dgm:constr type="ctrY" for="ch" forName="circ3" refType="h" fact="0.5578"/>
          <dgm:constr type="w" for="ch" forName="circ3" refType="w" fact="0.24"/>
          <dgm:constr type="h" for="ch" forName="circ3" refType="h" fact="0.3084"/>
          <dgm:constr type="l" for="ch" forName="circ3Tx" refType="w" fact="0.7157"/>
          <dgm:constr type="t" for="ch" forName="circ3Tx" refType="h" fact="0.543"/>
          <dgm:constr type="w" for="ch" forName="circ3Tx" refType="w" fact="0.2843"/>
          <dgm:constr type="h" for="ch" forName="circ3Tx" refType="h" fact="0.257"/>
          <dgm:constr type="ctrX" for="ch" forName="circ4" refType="w" fact="0.5"/>
          <dgm:constr type="ctrY" for="ch" forName="circ4" refType="h" fact="0.6157"/>
          <dgm:constr type="w" for="ch" forName="circ4" refType="w" fact="0.24"/>
          <dgm:constr type="h" for="ch" forName="circ4" refType="h" fact="0.3084"/>
          <dgm:constr type="l" for="ch" forName="circ4Tx" refType="w" fact="0.35"/>
          <dgm:constr type="t" for="ch" forName="circ4Tx" refType="h" fact="0.79"/>
          <dgm:constr type="w" for="ch" forName="circ4Tx" refType="w" fact="0.3"/>
          <dgm:constr type="h" for="ch" forName="circ4Tx" refType="h" fact="0.21"/>
          <dgm:constr type="ctrX" for="ch" forName="circ5" refType="w" fact="0.4221"/>
          <dgm:constr type="ctrY" for="ch" forName="circ5" refType="h" fact="0.5578"/>
          <dgm:constr type="w" for="ch" forName="circ5" refType="w" fact="0.24"/>
          <dgm:constr type="h" for="ch" forName="circ5" refType="h" fact="0.3084"/>
          <dgm:constr type="l" for="ch" forName="circ5Tx" refType="w" fact="0"/>
          <dgm:constr type="t" for="ch" forName="circ5Tx" refType="h" fact="0.543"/>
          <dgm:constr type="w" for="ch" forName="circ5Tx" refType="w" fact="0.2843"/>
          <dgm:constr type="h" for="ch" forName="circ5Tx" refType="h" fact="0.257"/>
          <dgm:constr type="ctrX" for="ch" forName="circ6" refType="w" fact="0.4221"/>
          <dgm:constr type="ctrY" for="ch" forName="circ6" refType="h" fact="0.4422"/>
          <dgm:constr type="w" for="ch" forName="circ6" refType="w" fact="0.24"/>
          <dgm:constr type="h" for="ch" forName="circ6" refType="h" fact="0.3084"/>
          <dgm:constr type="l" for="ch" forName="circ6Tx" refType="w" fact="0"/>
          <dgm:constr type="t" for="ch" forName="circ6Tx" refType="h" fact="0.2"/>
          <dgm:constr type="w" for="ch" forName="circ6Tx" refType="w" fact="0.2843"/>
          <dgm:constr type="h" for="ch" forName="circ6Tx" refType="h" fact="0.257"/>
          <dgm:constr type="primFontSz" for="ch" ptType="node" op="equ"/>
        </dgm:constrLst>
      </dgm:if>
      <dgm:else name="Name16">
        <dgm:constrLst>
          <dgm:constr type="ctrX" for="ch" forName="circ1" refType="w" fact="0.5"/>
          <dgm:constr type="ctrY" for="ch" forName="circ1" refType="h" fact="0.4177"/>
          <dgm:constr type="w" for="ch" forName="circ1" refType="w" fact="0.24"/>
          <dgm:constr type="h" for="ch" forName="circ1" refType="h" fact="0.3262"/>
          <dgm:constr type="l" for="ch" forName="circ1Tx" refType="w" fact="0.3625"/>
          <dgm:constr type="t" for="ch" forName="circ1Tx"/>
          <dgm:constr type="w" for="ch" forName="circ1Tx" refType="w" fact="0.275"/>
          <dgm:constr type="h" for="ch" forName="circ1Tx" refType="h" fact="0.2"/>
          <dgm:constr type="ctrX" for="ch" forName="circ2" refType="w" fact="0.5704"/>
          <dgm:constr type="ctrY" for="ch" forName="circ2" refType="h" fact="0.4637"/>
          <dgm:constr type="w" for="ch" forName="circ2" refType="w" fact="0.24"/>
          <dgm:constr type="h" for="ch" forName="circ2" refType="h" fact="0.3262"/>
          <dgm:constr type="l" for="ch" forName="circ2Tx" refType="w" fact="0.72"/>
          <dgm:constr type="t" for="ch" forName="circ2Tx" refType="h" fact="0.19"/>
          <dgm:constr type="w" for="ch" forName="circ2Tx" refType="w" fact="0.26"/>
          <dgm:constr type="h" for="ch" forName="circ2Tx" refType="h" fact="0.22"/>
          <dgm:constr type="ctrX" for="ch" forName="circ3" refType="w" fact="0.5877"/>
          <dgm:constr type="ctrY" for="ch" forName="circ3" refType="h" fact="0.5672"/>
          <dgm:constr type="w" for="ch" forName="circ3" refType="w" fact="0.24"/>
          <dgm:constr type="h" for="ch" forName="circ3" refType="h" fact="0.3262"/>
          <dgm:constr type="l" for="ch" forName="circ3Tx" refType="w" fact="0.745"/>
          <dgm:constr type="t" for="ch" forName="circ3Tx" refType="h" fact="0.47"/>
          <dgm:constr type="w" for="ch" forName="circ3Tx" refType="w" fact="0.255"/>
          <dgm:constr type="h" for="ch" forName="circ3Tx" refType="h" fact="0.235"/>
          <dgm:constr type="ctrX" for="ch" forName="circ4" refType="w" fact="0.539"/>
          <dgm:constr type="ctrY" for="ch" forName="circ4" refType="h" fact="0.6502"/>
          <dgm:constr type="w" for="ch" forName="circ4" refType="w" fact="0.24"/>
          <dgm:constr type="h" for="ch" forName="circ4" refType="h" fact="0.3262"/>
          <dgm:constr type="l" for="ch" forName="circ4Tx" refType="w" fact="0.635"/>
          <dgm:constr type="t" for="ch" forName="circ4Tx" refType="h" fact="0.785"/>
          <dgm:constr type="w" for="ch" forName="circ4Tx" refType="w" fact="0.275"/>
          <dgm:constr type="h" for="ch" forName="circ4Tx" refType="h" fact="0.215"/>
          <dgm:constr type="ctrX" for="ch" forName="circ5" refType="w" fact="0.461"/>
          <dgm:constr type="ctrY" for="ch" forName="circ5" refType="h" fact="0.6502"/>
          <dgm:constr type="w" for="ch" forName="circ5" refType="w" fact="0.24"/>
          <dgm:constr type="h" for="ch" forName="circ5" refType="h" fact="0.3262"/>
          <dgm:constr type="l" for="ch" forName="circ5Tx" refType="w" fact="0.09"/>
          <dgm:constr type="t" for="ch" forName="circ5Tx" refType="h" fact="0.785"/>
          <dgm:constr type="w" for="ch" forName="circ5Tx" refType="w" fact="0.275"/>
          <dgm:constr type="h" for="ch" forName="circ5Tx" refType="h" fact="0.215"/>
          <dgm:constr type="ctrX" for="ch" forName="circ6" refType="w" fact="0.4123"/>
          <dgm:constr type="ctrY" for="ch" forName="circ6" refType="h" fact="0.5672"/>
          <dgm:constr type="w" for="ch" forName="circ6" refType="w" fact="0.24"/>
          <dgm:constr type="h" for="ch" forName="circ6" refType="h" fact="0.3262"/>
          <dgm:constr type="l" for="ch" forName="circ6Tx"/>
          <dgm:constr type="t" for="ch" forName="circ6Tx" refType="h" fact="0.47"/>
          <dgm:constr type="w" for="ch" forName="circ6Tx" refType="w" fact="0.255"/>
          <dgm:constr type="h" for="ch" forName="circ6Tx" refType="h" fact="0.235"/>
          <dgm:constr type="ctrX" for="ch" forName="circ7" refType="w" fact="0.4296"/>
          <dgm:constr type="ctrY" for="ch" forName="circ7" refType="h" fact="0.4637"/>
          <dgm:constr type="w" for="ch" forName="circ7" refType="w" fact="0.24"/>
          <dgm:constr type="h" for="ch" forName="circ7" refType="h" fact="0.3262"/>
          <dgm:constr type="l" for="ch" forName="circ7Tx" refType="w" fact="0.02"/>
          <dgm:constr type="t" for="ch" forName="circ7Tx" refType="h" fact="0.19"/>
          <dgm:constr type="w" for="ch" forName="circ7Tx" refType="w" fact="0.26"/>
          <dgm:constr type="h" for="ch" forName="circ7Tx" refType="h" fact="0.22"/>
          <dgm:constr type="primFontSz" for="ch" ptType="node" op="equ"/>
        </dgm:constrLst>
      </dgm:else>
    </dgm:choose>
    <dgm:ruleLst/>
    <dgm:forEach name="Name17" axis="ch" ptType="node" cnt="1">
      <dgm:choose name="Name18">
        <dgm:if name="Name19" axis="root ch" ptType="all node" func="cnt" op="equ" val="1">
          <dgm:layoutNode name="circ1TxSh" styleLbl="vennNode1">
            <dgm:alg type="tx">
              <dgm:param type="txAnchorHorzCh" val="ctr"/>
              <dgm:param type="txAnchorVertCh" val="mid"/>
            </dgm:alg>
            <dgm:shape xmlns:r="http://schemas.openxmlformats.org/officeDocument/2006/relationships" type="ellipse" r:blip="">
              <dgm:adjLst/>
            </dgm:shape>
            <dgm:choose name="Name20">
              <dgm:if name="Name21" func="var" arg="dir" op="equ" val="norm">
                <dgm:choose name="Name22">
                  <dgm:if name="Name23" axis="root ch" ptType="all node" func="cnt" op="lte" val="4">
                    <dgm:presOf axis="desOrSelf" ptType="node"/>
                  </dgm:if>
                  <dgm:else name="Name24">
                    <dgm:presOf/>
                  </dgm:else>
                </dgm:choose>
              </dgm:if>
              <dgm:else name="Name25">
                <dgm:choose name="Name26">
                  <dgm:if name="Name27" axis="root ch" ptType="all node" func="cnt" op="equ" val="2">
                    <dgm:presOf axis="root ch desOrSelf" ptType="all node node" st="1 2 1" cnt="1 1 0"/>
                  </dgm:if>
                  <dgm:else name="Name28">
                    <dgm:presOf axis="desOrSelf" ptType="node"/>
                  </dgm:else>
                </dgm:choose>
              </dgm:else>
            </dgm:choose>
            <dgm:constrLst>
              <dgm:constr type="tMarg"/>
              <dgm:constr type="bMarg"/>
              <dgm:constr type="lMarg"/>
              <dgm:constr type="rMarg"/>
              <dgm:constr type="primFontSz" val="65"/>
            </dgm:constrLst>
            <dgm:ruleLst>
              <dgm:rule type="primFontSz" val="5" fact="NaN" max="NaN"/>
            </dgm:ruleLst>
          </dgm:layoutNode>
        </dgm:if>
        <dgm:else name="Name29">
          <dgm:layoutNode name="circ1" styleLbl="vennNode1">
            <dgm:alg type="sp"/>
            <dgm:shape xmlns:r="http://schemas.openxmlformats.org/officeDocument/2006/relationships" type="ellipse" r:blip="">
              <dgm:adjLst/>
            </dgm:shape>
            <dgm:choose name="Name30">
              <dgm:if name="Name31" func="var" arg="dir" op="equ" val="norm">
                <dgm:choose name="Name32">
                  <dgm:if name="Name33" axis="root ch" ptType="all node" func="cnt" op="lte" val="4">
                    <dgm:presOf axis="desOrSelf" ptType="node"/>
                  </dgm:if>
                  <dgm:else name="Name34">
                    <dgm:presOf/>
                  </dgm:else>
                </dgm:choose>
              </dgm:if>
              <dgm:else name="Name35">
                <dgm:choose name="Name36">
                  <dgm:if name="Name37" axis="root ch" ptType="all node" func="cnt" op="equ" val="2">
                    <dgm:presOf axis="root ch desOrSelf" ptType="all node node" st="1 2 1" cnt="1 1 0"/>
                  </dgm:if>
                  <dgm:else name="Name38">
                    <dgm:choose name="Name39">
                      <dgm:if name="Name40" axis="root ch" ptType="all node" func="cnt" op="lte" val="4">
                        <dgm:presOf axis="desOrSelf" ptType="node"/>
                      </dgm:if>
                      <dgm:else name="Name41">
                        <dgm:presOf/>
                      </dgm:else>
                    </dgm:choose>
                  </dgm:else>
                </dgm:choose>
              </dgm:else>
            </dgm:choose>
            <dgm:constrLst/>
            <dgm:ruleLst/>
          </dgm:layoutNode>
          <dgm:layoutNode name="circ1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42">
              <dgm:if name="Name43" func="var" arg="dir" op="equ" val="norm">
                <dgm:presOf axis="desOrSelf" ptType="node"/>
              </dgm:if>
              <dgm:else name="Name44">
                <dgm:choose name="Name45">
                  <dgm:if name="Name46" axis="root ch" ptType="all node" func="cnt" op="equ" val="2">
                    <dgm:presOf axis="root ch desOrSelf" ptType="all node node" st="1 2 1" cnt="1 1 0"/>
                  </dgm:if>
                  <dgm:else name="Name47">
                    <dgm:presOf axis="desOrSelf" ptType="node"/>
                  </dgm:else>
                </dgm:choose>
              </dgm:else>
            </dgm:choose>
            <dgm:constrLst>
              <dgm:constr type="tMarg"/>
              <dgm:constr type="bMarg"/>
              <dgm:constr type="lMarg"/>
              <dgm:constr type="rMarg"/>
              <dgm:constr type="primFontSz" val="65"/>
            </dgm:constrLst>
            <dgm:ruleLst>
              <dgm:rule type="primFontSz" val="5" fact="NaN" max="NaN"/>
            </dgm:ruleLst>
          </dgm:layoutNode>
        </dgm:else>
      </dgm:choose>
    </dgm:forEach>
    <dgm:forEach name="Name48" axis="ch" ptType="node" st="2" cnt="1">
      <dgm:layoutNode name="circ2" styleLbl="vennNode1">
        <dgm:alg type="sp"/>
        <dgm:shape xmlns:r="http://schemas.openxmlformats.org/officeDocument/2006/relationships" type="ellipse" r:blip="">
          <dgm:adjLst/>
        </dgm:shape>
        <dgm:choose name="Name49">
          <dgm:if name="Name50" func="var" arg="dir" op="equ" val="norm">
            <dgm:choose name="Name51">
              <dgm:if name="Name52" axis="root ch" ptType="all node" func="cnt" op="lte" val="4">
                <dgm:presOf axis="desOrSelf" ptType="node"/>
              </dgm:if>
              <dgm:else name="Name53">
                <dgm:presOf/>
              </dgm:else>
            </dgm:choose>
          </dgm:if>
          <dgm:else name="Name54">
            <dgm:choose name="Name55">
              <dgm:if name="Name56" axis="root ch" ptType="all node" func="cnt" op="equ" val="2">
                <dgm:presOf axis="root ch desOrSelf" ptType="all node node" st="1 1 1" cnt="1 1 0"/>
              </dgm:if>
              <dgm:if name="Name57" axis="root ch" ptType="all node" func="cnt" op="equ" val="3">
                <dgm:presOf axis="root ch desOrSelf" ptType="all node node" st="1 3 1" cnt="1 1 0"/>
              </dgm:if>
              <dgm:if name="Name58" axis="root ch" ptType="all node" func="cnt" op="equ" val="4">
                <dgm:presOf axis="root ch desOrSelf" ptType="all node node" st="1 4 1" cnt="1 1 0"/>
              </dgm:if>
              <dgm:else name="Name59">
                <dgm:presOf/>
              </dgm:else>
            </dgm:choose>
          </dgm:else>
        </dgm:choose>
        <dgm:constrLst/>
        <dgm:ruleLst/>
      </dgm:layoutNode>
      <dgm:layoutNode name="circ2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60">
          <dgm:if name="Name61" func="var" arg="dir" op="equ" val="norm">
            <dgm:presOf axis="desOrSelf" ptType="node"/>
          </dgm:if>
          <dgm:else name="Name62">
            <dgm:choose name="Name63">
              <dgm:if name="Name64" axis="root ch" ptType="all node" func="cnt" op="equ" val="2">
                <dgm:presOf axis="root ch desOrSelf" ptType="all node node" st="1 1 1" cnt="1 1 0"/>
              </dgm:if>
              <dgm:if name="Name65" axis="root ch" ptType="all node" func="cnt" op="equ" val="3">
                <dgm:presOf axis="root ch desOrSelf" ptType="all node node" st="1 3 1" cnt="1 1 0"/>
              </dgm:if>
              <dgm:if name="Name66" axis="root ch" ptType="all node" func="cnt" op="equ" val="4">
                <dgm:presOf axis="root ch desOrSelf" ptType="all node node" st="1 4 1" cnt="1 1 0"/>
              </dgm:if>
              <dgm:if name="Name67" axis="root ch" ptType="all node" func="cnt" op="equ" val="5">
                <dgm:presOf axis="root ch desOrSelf" ptType="all node node" st="1 5 1" cnt="1 1 0"/>
              </dgm:if>
              <dgm:if name="Name68" axis="root ch" ptType="all node" func="cnt" op="equ" val="6">
                <dgm:presOf axis="root ch desOrSelf" ptType="all node node" st="1 6 1" cnt="1 1 0"/>
              </dgm:if>
              <dgm:else name="Name69">
                <dgm:presOf axis="root ch desOrSelf" ptType="all node node" st="1 7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70" axis="ch" ptType="node" st="3" cnt="1">
      <dgm:layoutNode name="circ3" styleLbl="vennNode1">
        <dgm:alg type="sp"/>
        <dgm:shape xmlns:r="http://schemas.openxmlformats.org/officeDocument/2006/relationships" type="ellipse" r:blip="">
          <dgm:adjLst/>
        </dgm:shape>
        <dgm:choose name="Name71">
          <dgm:if name="Name72" func="var" arg="dir" op="equ" val="norm">
            <dgm:choose name="Name73">
              <dgm:if name="Name74" axis="root ch" ptType="all node" func="cnt" op="lte" val="4">
                <dgm:presOf axis="desOrSelf" ptType="node"/>
              </dgm:if>
              <dgm:else name="Name75">
                <dgm:presOf/>
              </dgm:else>
            </dgm:choose>
          </dgm:if>
          <dgm:else name="Name76">
            <dgm:choose name="Name77">
              <dgm:if name="Name78" axis="root ch" ptType="all node" func="cnt" op="equ" val="3">
                <dgm:presOf axis="root ch desOrSelf" ptType="all node node" st="1 2 1" cnt="1 1 0"/>
              </dgm:if>
              <dgm:if name="Name79" axis="root ch" ptType="all node" func="cnt" op="equ" val="4">
                <dgm:presOf axis="root ch desOrSelf" ptType="all node node" st="1 3 1" cnt="1 1 0"/>
              </dgm:if>
              <dgm:else name="Name80">
                <dgm:presOf/>
              </dgm:else>
            </dgm:choose>
          </dgm:else>
        </dgm:choose>
        <dgm:constrLst/>
        <dgm:ruleLst/>
      </dgm:layoutNode>
      <dgm:layoutNode name="circ3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81">
          <dgm:if name="Name82" func="var" arg="dir" op="equ" val="norm">
            <dgm:presOf axis="desOrSelf" ptType="node"/>
          </dgm:if>
          <dgm:else name="Name83">
            <dgm:choose name="Name84">
              <dgm:if name="Name85" axis="root ch" ptType="all node" func="cnt" op="equ" val="3">
                <dgm:presOf axis="root ch desOrSelf" ptType="all node node" st="1 2 1" cnt="1 1 0"/>
              </dgm:if>
              <dgm:if name="Name86" axis="root ch" ptType="all node" func="cnt" op="equ" val="4">
                <dgm:presOf axis="root ch desOrSelf" ptType="all node node" st="1 3 1" cnt="1 1 0"/>
              </dgm:if>
              <dgm:if name="Name87" axis="root ch" ptType="all node" func="cnt" op="equ" val="5">
                <dgm:presOf axis="root ch desOrSelf" ptType="all node node" st="1 4 1" cnt="1 1 0"/>
              </dgm:if>
              <dgm:if name="Name88" axis="root ch" ptType="all node" func="cnt" op="equ" val="6">
                <dgm:presOf axis="root ch desOrSelf" ptType="all node node" st="1 5 1" cnt="1 1 0"/>
              </dgm:if>
              <dgm:else name="Name89">
                <dgm:presOf axis="root ch desOrSelf" ptType="all node node" st="1 6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90" axis="ch" ptType="node" st="4" cnt="1">
      <dgm:layoutNode name="circ4" styleLbl="vennNode1">
        <dgm:alg type="sp"/>
        <dgm:shape xmlns:r="http://schemas.openxmlformats.org/officeDocument/2006/relationships" type="ellipse" r:blip="">
          <dgm:adjLst/>
        </dgm:shape>
        <dgm:choose name="Name91">
          <dgm:if name="Name92" func="var" arg="dir" op="equ" val="norm">
            <dgm:choose name="Name93">
              <dgm:if name="Name94" axis="root ch" ptType="all node" func="cnt" op="lte" val="4">
                <dgm:presOf axis="desOrSelf" ptType="node"/>
              </dgm:if>
              <dgm:else name="Name95">
                <dgm:presOf/>
              </dgm:else>
            </dgm:choose>
          </dgm:if>
          <dgm:else name="Name96">
            <dgm:choose name="Name97">
              <dgm:if name="Name98" axis="root ch" ptType="all node" func="cnt" op="equ" val="4">
                <dgm:presOf axis="root ch desOrSelf" ptType="all node node" st="1 2 1" cnt="1 1 0"/>
              </dgm:if>
              <dgm:else name="Name99">
                <dgm:presOf/>
              </dgm:else>
            </dgm:choose>
          </dgm:else>
        </dgm:choose>
        <dgm:constrLst/>
        <dgm:ruleLst/>
      </dgm:layoutNode>
      <dgm:layoutNode name="circ4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00">
          <dgm:if name="Name101" func="var" arg="dir" op="equ" val="norm">
            <dgm:presOf axis="desOrSelf" ptType="node"/>
          </dgm:if>
          <dgm:else name="Name102">
            <dgm:choose name="Name103">
              <dgm:if name="Name104" axis="root ch" ptType="all node" func="cnt" op="equ" val="4">
                <dgm:presOf axis="root ch desOrSelf" ptType="all node node" st="1 2 1" cnt="1 1 0"/>
              </dgm:if>
              <dgm:if name="Name105" axis="root ch" ptType="all node" func="cnt" op="equ" val="5">
                <dgm:presOf axis="root ch desOrSelf" ptType="all node node" st="1 3 1" cnt="1 1 0"/>
              </dgm:if>
              <dgm:if name="Name106" axis="root ch" ptType="all node" func="cnt" op="equ" val="6">
                <dgm:presOf axis="root ch desOrSelf" ptType="all node node" st="1 4 1" cnt="1 1 0"/>
              </dgm:if>
              <dgm:else name="Name107">
                <dgm:presOf axis="root ch desOrSelf" ptType="all node node" st="1 5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08" axis="ch" ptType="node" st="5" cnt="1">
      <dgm:layoutNode name="circ5" styleLbl="vennNode1">
        <dgm:alg type="sp"/>
        <dgm:shape xmlns:r="http://schemas.openxmlformats.org/officeDocument/2006/relationships" type="ellipse" r:blip="">
          <dgm:adjLst/>
        </dgm:shape>
        <dgm:presOf/>
        <dgm:constrLst/>
        <dgm:ruleLst/>
      </dgm:layoutNode>
      <dgm:layoutNode name="circ5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09">
          <dgm:if name="Name110" func="var" arg="dir" op="equ" val="norm">
            <dgm:presOf axis="desOrSelf" ptType="node"/>
          </dgm:if>
          <dgm:else name="Name111">
            <dgm:choose name="Name112">
              <dgm:if name="Name113" axis="root ch" ptType="all node" func="cnt" op="equ" val="5">
                <dgm:presOf axis="root ch desOrSelf" ptType="all node node" st="1 2 1" cnt="1 1 0"/>
              </dgm:if>
              <dgm:if name="Name114" axis="root ch" ptType="all node" func="cnt" op="equ" val="6">
                <dgm:presOf axis="root ch desOrSelf" ptType="all node node" st="1 3 1" cnt="1 1 0"/>
              </dgm:if>
              <dgm:else name="Name115">
                <dgm:presOf axis="root ch desOrSelf" ptType="all node node" st="1 4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16" axis="ch" ptType="node" st="6" cnt="1">
      <dgm:layoutNode name="circ6" styleLbl="vennNode1">
        <dgm:alg type="sp"/>
        <dgm:shape xmlns:r="http://schemas.openxmlformats.org/officeDocument/2006/relationships" type="ellipse" r:blip="">
          <dgm:adjLst/>
        </dgm:shape>
        <dgm:presOf/>
        <dgm:constrLst/>
        <dgm:ruleLst/>
      </dgm:layoutNode>
      <dgm:layoutNode name="circ6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17">
          <dgm:if name="Name118" func="var" arg="dir" op="equ" val="norm">
            <dgm:presOf axis="desOrSelf" ptType="node"/>
          </dgm:if>
          <dgm:else name="Name119">
            <dgm:choose name="Name120">
              <dgm:if name="Name121" axis="root ch" ptType="all node" func="cnt" op="equ" val="6">
                <dgm:presOf axis="root ch desOrSelf" ptType="all node node" st="1 2 1" cnt="1 1 0"/>
              </dgm:if>
              <dgm:else name="Name122">
                <dgm:presOf axis="root ch desOrSelf" ptType="all node node" st="1 3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23" axis="ch" ptType="node" st="7" cnt="1">
      <dgm:layoutNode name="circ7" styleLbl="vennNode1">
        <dgm:alg type="sp"/>
        <dgm:shape xmlns:r="http://schemas.openxmlformats.org/officeDocument/2006/relationships" type="ellipse" r:blip="">
          <dgm:adjLst/>
        </dgm:shape>
        <dgm:presOf/>
        <dgm:constrLst/>
        <dgm:ruleLst/>
      </dgm:layoutNode>
      <dgm:layoutNode name="circ7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24">
          <dgm:if name="Name125" func="var" arg="dir" op="equ" val="norm">
            <dgm:presOf axis="desOrSelf" ptType="node"/>
          </dgm:if>
          <dgm:else name="Name126">
            <dgm:presOf axis="root ch desOrSelf" ptType="all node node" st="1 2 1" cnt="1 1 0"/>
          </dgm:else>
        </dgm:choose>
        <dgm:constrLst>
          <dgm:constr type="tMarg"/>
          <dgm:constr type="bMarg"/>
          <dgm:constr type="lMarg"/>
          <dgm:constr type="rMarg"/>
          <dgm:constr type="primFontSz" val="65"/>
        </dgm:constrLst>
        <dgm:ruleLst>
          <dgm:rule type="primFontSz" val="5" fact="NaN" max="NaN"/>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CF19DF-E911-46B4-968B-601822DFF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8</Pages>
  <Words>3863</Words>
  <Characters>22025</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sadeghi</dc:creator>
  <cp:lastModifiedBy>sadeghi</cp:lastModifiedBy>
  <cp:revision>5</cp:revision>
  <cp:lastPrinted>2019-11-10T21:57:00Z</cp:lastPrinted>
  <dcterms:created xsi:type="dcterms:W3CDTF">2019-11-10T21:25:00Z</dcterms:created>
  <dcterms:modified xsi:type="dcterms:W3CDTF">2019-11-10T21:58:00Z</dcterms:modified>
</cp:coreProperties>
</file>